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A1089" w14:textId="77777777" w:rsidR="009B4917" w:rsidRPr="00C55210" w:rsidRDefault="009B4917" w:rsidP="009B4917">
      <w:pPr>
        <w:jc w:val="center"/>
        <w:rPr>
          <w:rFonts w:ascii="Century Gothic" w:hAnsi="Century Gothic"/>
          <w:sz w:val="24"/>
          <w:szCs w:val="24"/>
        </w:rPr>
      </w:pPr>
      <w:r w:rsidRPr="00C55210">
        <w:rPr>
          <w:rFonts w:ascii="Century Gothic" w:hAnsi="Century Gothic"/>
          <w:b/>
          <w:sz w:val="24"/>
          <w:szCs w:val="24"/>
          <w:u w:val="single"/>
        </w:rPr>
        <w:t>COSHH - Control of Substances Hazardous to Health:</w:t>
      </w:r>
    </w:p>
    <w:p w14:paraId="07990003" w14:textId="77777777" w:rsidR="009B4917" w:rsidRPr="00C55210" w:rsidRDefault="009B4917" w:rsidP="009B4917">
      <w:pPr>
        <w:rPr>
          <w:rFonts w:ascii="Century Gothic" w:hAnsi="Century Gothic"/>
          <w:sz w:val="24"/>
          <w:szCs w:val="24"/>
        </w:rPr>
      </w:pPr>
      <w:r w:rsidRPr="00C55210">
        <w:rPr>
          <w:rFonts w:ascii="Century Gothic" w:hAnsi="Century Gothic"/>
          <w:sz w:val="24"/>
          <w:szCs w:val="24"/>
        </w:rPr>
        <w:t xml:space="preserve">Due to the nature of the work that we carry out we will at some time be exposed to substances that have the potential to cause harm. We need to ensure that each and every time we come into contact with these substances we deal with them in a safe </w:t>
      </w:r>
      <w:r>
        <w:rPr>
          <w:rFonts w:ascii="Century Gothic" w:hAnsi="Century Gothic"/>
          <w:sz w:val="24"/>
          <w:szCs w:val="24"/>
        </w:rPr>
        <w:t xml:space="preserve">and efficient manner. </w:t>
      </w:r>
      <w:r w:rsidRPr="00C55210">
        <w:rPr>
          <w:rFonts w:ascii="Century Gothic" w:hAnsi="Century Gothic"/>
          <w:sz w:val="24"/>
          <w:szCs w:val="24"/>
        </w:rPr>
        <w:t xml:space="preserve">The safe ways in which we deal with these is implied within the legislations that surrounds the Health and Safety at Work. In our work place, there must be risk assessments in place for every product that produces chemicals or is able to cause any harm towards a living being. These risk assessments must be recorded and reviewed regularly. However, an informed risk assessment must be carried out by every person prior to them starting any procedure that will entail them or others coming in contact with these chemicals or any substances that is hazardous to health involved. </w:t>
      </w:r>
    </w:p>
    <w:p w14:paraId="13A214F6" w14:textId="77777777" w:rsidR="009B4917" w:rsidRPr="00C55210" w:rsidRDefault="009B4917" w:rsidP="009B4917">
      <w:pPr>
        <w:rPr>
          <w:rFonts w:ascii="Century Gothic" w:hAnsi="Century Gothic"/>
          <w:sz w:val="24"/>
          <w:szCs w:val="24"/>
        </w:rPr>
      </w:pPr>
      <w:r w:rsidRPr="00C55210">
        <w:rPr>
          <w:rFonts w:ascii="Century Gothic" w:hAnsi="Century Gothic"/>
          <w:sz w:val="24"/>
          <w:szCs w:val="24"/>
        </w:rPr>
        <w:t xml:space="preserve">The Health and Safety Lead Person is responsible to ensure COSHH Assessment Forms are completed and share with the appropriate team members. </w:t>
      </w:r>
    </w:p>
    <w:p w14:paraId="4C0AD8BD" w14:textId="77777777" w:rsidR="009B4917" w:rsidRDefault="009B4917" w:rsidP="009B4917">
      <w:pPr>
        <w:rPr>
          <w:rFonts w:ascii="Century Gothic" w:hAnsi="Century Gothic"/>
          <w:sz w:val="24"/>
          <w:szCs w:val="24"/>
        </w:rPr>
      </w:pPr>
      <w:r w:rsidRPr="00C55210">
        <w:rPr>
          <w:rFonts w:ascii="Century Gothic" w:hAnsi="Century Gothic"/>
          <w:sz w:val="24"/>
          <w:szCs w:val="24"/>
        </w:rPr>
        <w:t>Safety data sheets are providing to us by the manufacturers and provides us with all the information about the chemicals found in the products. These can also be found on the internet / website or by emaili</w:t>
      </w:r>
      <w:r>
        <w:rPr>
          <w:rFonts w:ascii="Century Gothic" w:hAnsi="Century Gothic"/>
          <w:sz w:val="24"/>
          <w:szCs w:val="24"/>
        </w:rPr>
        <w:t xml:space="preserve">ng the manufacturers directly. </w:t>
      </w:r>
      <w:r w:rsidRPr="00C55210">
        <w:rPr>
          <w:rFonts w:ascii="Century Gothic" w:hAnsi="Century Gothic"/>
          <w:sz w:val="24"/>
          <w:szCs w:val="24"/>
        </w:rPr>
        <w:t>All team members should ensure that they report to someone from Management team in regard to dangerous situations. “If you notice anything that could have the potential to cause harm then you have a duty to report it”. No one is to misuse or interfere with anything provided for health and safety p</w:t>
      </w:r>
      <w:r>
        <w:rPr>
          <w:rFonts w:ascii="Century Gothic" w:hAnsi="Century Gothic"/>
          <w:sz w:val="24"/>
          <w:szCs w:val="24"/>
        </w:rPr>
        <w:t xml:space="preserve">urposes. </w:t>
      </w:r>
    </w:p>
    <w:p w14:paraId="5729AD6A" w14:textId="77777777" w:rsidR="009B4917" w:rsidRPr="008565B6" w:rsidRDefault="009B4917" w:rsidP="009B4917">
      <w:pPr>
        <w:rPr>
          <w:rFonts w:ascii="Century Gothic" w:hAnsi="Century Gothic"/>
          <w:sz w:val="24"/>
          <w:szCs w:val="24"/>
        </w:rPr>
      </w:pPr>
      <w:r w:rsidRPr="00C55210">
        <w:rPr>
          <w:rFonts w:ascii="Century Gothic" w:hAnsi="Century Gothic"/>
          <w:sz w:val="24"/>
          <w:szCs w:val="24"/>
        </w:rPr>
        <w:t xml:space="preserve">The Health and Safety of people within the work place </w:t>
      </w:r>
      <w:r w:rsidRPr="00C55210">
        <w:rPr>
          <w:rFonts w:ascii="Century Gothic" w:hAnsi="Century Gothic"/>
          <w:b/>
          <w:sz w:val="24"/>
          <w:szCs w:val="24"/>
          <w:u w:val="single"/>
        </w:rPr>
        <w:t xml:space="preserve">IS EVERYONES RESPONSIBILITY AND CAN NOT BE IGNORED. </w:t>
      </w:r>
    </w:p>
    <w:p w14:paraId="74EEA4C7" w14:textId="77777777" w:rsidR="009B4917" w:rsidRPr="00C55210" w:rsidRDefault="009B4917" w:rsidP="009B4917">
      <w:pPr>
        <w:rPr>
          <w:rFonts w:ascii="Century Gothic" w:hAnsi="Century Gothic"/>
          <w:b/>
          <w:sz w:val="24"/>
          <w:szCs w:val="24"/>
        </w:rPr>
      </w:pPr>
      <w:r w:rsidRPr="00C55210">
        <w:rPr>
          <w:rFonts w:ascii="Century Gothic" w:hAnsi="Century Gothic"/>
          <w:b/>
          <w:sz w:val="24"/>
          <w:szCs w:val="24"/>
        </w:rPr>
        <w:t xml:space="preserve">Step by step on COSHH: </w:t>
      </w:r>
    </w:p>
    <w:p w14:paraId="02346E5E" w14:textId="36B8E175"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 xml:space="preserve">Please can you ensure that all products used within the nursery are placed safely away after use, either in </w:t>
      </w:r>
      <w:r w:rsidR="00B42D49">
        <w:rPr>
          <w:rFonts w:ascii="Century Gothic" w:hAnsi="Century Gothic"/>
          <w:sz w:val="24"/>
          <w:szCs w:val="24"/>
        </w:rPr>
        <w:t xml:space="preserve">the staff toilet room, staff kitchen area or up high on the shelves in the room ie. antibacterial spray. </w:t>
      </w:r>
      <w:r w:rsidRPr="00C55210">
        <w:rPr>
          <w:rFonts w:ascii="Century Gothic" w:hAnsi="Century Gothic"/>
          <w:sz w:val="24"/>
          <w:szCs w:val="24"/>
        </w:rPr>
        <w:t>Items only found in the main kitchen should be of a low risk (ensuring the baby gate is always closed)</w:t>
      </w:r>
    </w:p>
    <w:p w14:paraId="307ABA3B" w14:textId="77777777"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That all products are placed away safely with the lids screwed on properly and tight. All safety locks are secure e.g. antibacterial spray.</w:t>
      </w:r>
    </w:p>
    <w:p w14:paraId="6F47381C" w14:textId="4EEEEDA3"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 xml:space="preserve">All products or items that can be harmful to a human being, will have a COSHH Assessment Form completed alongside the manufacturers Safety Data Sheet. </w:t>
      </w:r>
    </w:p>
    <w:p w14:paraId="1A407060" w14:textId="77777777"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 xml:space="preserve">If you are aware that a new product has been ordered or an item has not got any information provided on it, please inform the Health and Safety Lead Person of the full title of the product, brand and bar code. </w:t>
      </w:r>
    </w:p>
    <w:p w14:paraId="3523E36D" w14:textId="77777777"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 xml:space="preserve">All team members need to ensure that they have read through the COSHH information provided, signing and dating the main office copy afterwards. </w:t>
      </w:r>
    </w:p>
    <w:p w14:paraId="3CD88A30" w14:textId="77777777"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 xml:space="preserve">All team members need to ensure that they are aware of the safety instructions before starting to use a product. </w:t>
      </w:r>
    </w:p>
    <w:p w14:paraId="5A3A391D" w14:textId="77777777"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 xml:space="preserve">All team members need to ensure that they are keeping themselves and others out of danger. </w:t>
      </w:r>
    </w:p>
    <w:p w14:paraId="06ADFA09" w14:textId="77777777"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t xml:space="preserve">All team will need to wear Personal Protective Clothing (PPE) at all times when in contact with any potential Health and Safety hazards. Please ensure you are informing the Management team when the stocks are low of any of the PPE. </w:t>
      </w:r>
    </w:p>
    <w:p w14:paraId="5B5DDF58" w14:textId="77777777" w:rsidR="009B4917" w:rsidRPr="00C55210" w:rsidRDefault="009B4917" w:rsidP="009B4917">
      <w:pPr>
        <w:pStyle w:val="ListParagraph"/>
        <w:numPr>
          <w:ilvl w:val="0"/>
          <w:numId w:val="12"/>
        </w:numPr>
        <w:rPr>
          <w:rFonts w:ascii="Century Gothic" w:hAnsi="Century Gothic"/>
          <w:b/>
          <w:sz w:val="24"/>
          <w:szCs w:val="24"/>
        </w:rPr>
      </w:pPr>
      <w:r w:rsidRPr="00C55210">
        <w:rPr>
          <w:rFonts w:ascii="Century Gothic" w:hAnsi="Century Gothic"/>
          <w:sz w:val="24"/>
          <w:szCs w:val="24"/>
        </w:rPr>
        <w:lastRenderedPageBreak/>
        <w:t xml:space="preserve">If an accident does occur in regard to a product, if possible try to gather the nearest COSHH folder and the products packaging and take with you, this will provide you with further information. </w:t>
      </w:r>
    </w:p>
    <w:p w14:paraId="3B4E1606" w14:textId="77777777" w:rsidR="009B4917" w:rsidRDefault="009B4917" w:rsidP="009B4917">
      <w:pPr>
        <w:rPr>
          <w:rFonts w:ascii="Century Gothic" w:hAnsi="Century Gothic"/>
          <w:b/>
          <w:sz w:val="24"/>
          <w:szCs w:val="24"/>
        </w:rPr>
      </w:pPr>
      <w:r w:rsidRPr="00C55210">
        <w:rPr>
          <w:rFonts w:ascii="Century Gothic" w:hAnsi="Century Gothic"/>
          <w:b/>
          <w:sz w:val="24"/>
          <w:szCs w:val="24"/>
        </w:rPr>
        <w:t xml:space="preserve">What is a </w:t>
      </w:r>
      <w:r>
        <w:rPr>
          <w:rFonts w:ascii="Century Gothic" w:hAnsi="Century Gothic"/>
          <w:b/>
          <w:sz w:val="24"/>
          <w:szCs w:val="24"/>
        </w:rPr>
        <w:t xml:space="preserve">substance hazardous to health? </w:t>
      </w:r>
    </w:p>
    <w:p w14:paraId="3DAFC2F7" w14:textId="77777777" w:rsidR="009B4917" w:rsidRPr="008565B6" w:rsidRDefault="009B4917" w:rsidP="009B4917">
      <w:pPr>
        <w:rPr>
          <w:rFonts w:ascii="Century Gothic" w:hAnsi="Century Gothic"/>
          <w:b/>
          <w:sz w:val="24"/>
          <w:szCs w:val="24"/>
        </w:rPr>
      </w:pPr>
      <w:r w:rsidRPr="00C55210">
        <w:rPr>
          <w:rFonts w:ascii="Century Gothic" w:hAnsi="Century Gothic"/>
          <w:sz w:val="24"/>
          <w:szCs w:val="24"/>
        </w:rPr>
        <w:t>COSHH covers substances that are hazardous to health. Substances can take many forms and includes:</w:t>
      </w:r>
    </w:p>
    <w:p w14:paraId="1AD74EF5"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Chemicals</w:t>
      </w:r>
    </w:p>
    <w:p w14:paraId="50FCBC95"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Products containing chemicals</w:t>
      </w:r>
    </w:p>
    <w:p w14:paraId="0ADB8715"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Fumes</w:t>
      </w:r>
    </w:p>
    <w:p w14:paraId="22D9FA23"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Dust</w:t>
      </w:r>
    </w:p>
    <w:p w14:paraId="1F5DCB76"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Vapours</w:t>
      </w:r>
    </w:p>
    <w:p w14:paraId="6C5330ED"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Mists</w:t>
      </w:r>
    </w:p>
    <w:p w14:paraId="4E88E3BE"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Nanotechnology</w:t>
      </w:r>
    </w:p>
    <w:p w14:paraId="7495BC5F"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Gases and asphyxiating gases</w:t>
      </w:r>
    </w:p>
    <w:p w14:paraId="2F688C3D"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 xml:space="preserve">Biological agents (germs). If the packaging has any hazard symbol, then it is classed as a hazardous substance. </w:t>
      </w:r>
    </w:p>
    <w:p w14:paraId="58D8C039" w14:textId="77777777" w:rsidR="009B4917" w:rsidRPr="00C55210" w:rsidRDefault="009B4917" w:rsidP="009B4917">
      <w:pPr>
        <w:rPr>
          <w:rFonts w:ascii="Century Gothic" w:hAnsi="Century Gothic"/>
          <w:sz w:val="24"/>
          <w:szCs w:val="24"/>
        </w:rPr>
      </w:pPr>
      <w:r w:rsidRPr="00C55210">
        <w:rPr>
          <w:rFonts w:ascii="Century Gothic" w:hAnsi="Century Gothic"/>
          <w:sz w:val="24"/>
          <w:szCs w:val="24"/>
        </w:rPr>
        <w:t xml:space="preserve">Examples of products that COSHH Assessment Forms and Safety Data Sheets will be completed om: </w:t>
      </w:r>
    </w:p>
    <w:p w14:paraId="0E53302A"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Antibacterial spray</w:t>
      </w:r>
    </w:p>
    <w:p w14:paraId="286B6C7D"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Shop bought playdough</w:t>
      </w:r>
    </w:p>
    <w:p w14:paraId="40F2E1C3" w14:textId="6F54F63C" w:rsidR="009B4917" w:rsidRPr="00DE3425" w:rsidRDefault="009B4917" w:rsidP="00DE3425">
      <w:pPr>
        <w:pStyle w:val="ListParagraph"/>
        <w:numPr>
          <w:ilvl w:val="0"/>
          <w:numId w:val="1"/>
        </w:numPr>
        <w:rPr>
          <w:rFonts w:ascii="Century Gothic" w:hAnsi="Century Gothic"/>
          <w:b/>
          <w:sz w:val="24"/>
          <w:szCs w:val="24"/>
        </w:rPr>
      </w:pPr>
      <w:r w:rsidRPr="00C55210">
        <w:rPr>
          <w:rFonts w:ascii="Century Gothic" w:hAnsi="Century Gothic"/>
          <w:b/>
          <w:sz w:val="24"/>
          <w:szCs w:val="24"/>
        </w:rPr>
        <w:t>Floor cleaner</w:t>
      </w:r>
    </w:p>
    <w:p w14:paraId="40CBDF30"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Children’s paint</w:t>
      </w:r>
    </w:p>
    <w:p w14:paraId="683E1D1C"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Chalk</w:t>
      </w:r>
    </w:p>
    <w:p w14:paraId="31EFB1DC" w14:textId="77777777" w:rsidR="009B4917" w:rsidRPr="00C55210" w:rsidRDefault="009B4917" w:rsidP="009B4917">
      <w:pPr>
        <w:pStyle w:val="ListParagraph"/>
        <w:numPr>
          <w:ilvl w:val="0"/>
          <w:numId w:val="1"/>
        </w:numPr>
        <w:rPr>
          <w:rFonts w:ascii="Century Gothic" w:hAnsi="Century Gothic"/>
          <w:b/>
          <w:sz w:val="24"/>
          <w:szCs w:val="24"/>
        </w:rPr>
      </w:pPr>
      <w:r w:rsidRPr="00C55210">
        <w:rPr>
          <w:rFonts w:ascii="Century Gothic" w:hAnsi="Century Gothic"/>
          <w:b/>
          <w:sz w:val="24"/>
          <w:szCs w:val="24"/>
        </w:rPr>
        <w:t>Biro pens</w:t>
      </w:r>
    </w:p>
    <w:tbl>
      <w:tblPr>
        <w:tblStyle w:val="TableGrid"/>
        <w:tblW w:w="0" w:type="auto"/>
        <w:tblLook w:val="04A0" w:firstRow="1" w:lastRow="0" w:firstColumn="1" w:lastColumn="0" w:noHBand="0" w:noVBand="1"/>
      </w:tblPr>
      <w:tblGrid>
        <w:gridCol w:w="3485"/>
        <w:gridCol w:w="3485"/>
        <w:gridCol w:w="3486"/>
      </w:tblGrid>
      <w:tr w:rsidR="009B4917" w:rsidRPr="00C55210" w14:paraId="2BA51037" w14:textId="77777777" w:rsidTr="00CC2650">
        <w:tc>
          <w:tcPr>
            <w:tcW w:w="3485" w:type="dxa"/>
          </w:tcPr>
          <w:p w14:paraId="538713F8" w14:textId="77777777" w:rsidR="009B4917" w:rsidRPr="00C55210" w:rsidRDefault="009B4917" w:rsidP="00CC2650">
            <w:pPr>
              <w:rPr>
                <w:rFonts w:ascii="Century Gothic" w:hAnsi="Century Gothic"/>
                <w:sz w:val="24"/>
                <w:szCs w:val="24"/>
              </w:rPr>
            </w:pPr>
            <w:r w:rsidRPr="00C55210">
              <w:rPr>
                <w:rFonts w:ascii="Century Gothic" w:hAnsi="Century Gothic"/>
                <w:sz w:val="24"/>
                <w:szCs w:val="24"/>
              </w:rPr>
              <w:t xml:space="preserve">This policy was adopted: </w:t>
            </w:r>
          </w:p>
        </w:tc>
        <w:tc>
          <w:tcPr>
            <w:tcW w:w="3485" w:type="dxa"/>
          </w:tcPr>
          <w:p w14:paraId="00160324" w14:textId="77777777" w:rsidR="009B4917" w:rsidRPr="00C55210" w:rsidRDefault="009B4917"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7831AB9" w14:textId="77777777" w:rsidR="009B4917" w:rsidRPr="00C55210" w:rsidRDefault="009B4917" w:rsidP="00CC2650">
            <w:pPr>
              <w:rPr>
                <w:rFonts w:ascii="Century Gothic" w:hAnsi="Century Gothic"/>
                <w:sz w:val="24"/>
                <w:szCs w:val="24"/>
              </w:rPr>
            </w:pPr>
            <w:r w:rsidRPr="00C55210">
              <w:rPr>
                <w:rFonts w:ascii="Century Gothic" w:hAnsi="Century Gothic"/>
                <w:sz w:val="24"/>
                <w:szCs w:val="24"/>
              </w:rPr>
              <w:t xml:space="preserve">Date for Review: </w:t>
            </w:r>
          </w:p>
        </w:tc>
      </w:tr>
      <w:tr w:rsidR="009B4917" w:rsidRPr="00C55210" w14:paraId="48DC7F55" w14:textId="77777777" w:rsidTr="00CC2650">
        <w:tc>
          <w:tcPr>
            <w:tcW w:w="3485" w:type="dxa"/>
          </w:tcPr>
          <w:p w14:paraId="766BC965" w14:textId="644DEE2C" w:rsidR="009B4917" w:rsidRPr="00C55210" w:rsidRDefault="001319B5" w:rsidP="00CC2650">
            <w:pPr>
              <w:rPr>
                <w:rFonts w:ascii="Century Gothic" w:hAnsi="Century Gothic"/>
                <w:sz w:val="24"/>
                <w:szCs w:val="24"/>
              </w:rPr>
            </w:pPr>
            <w:r>
              <w:rPr>
                <w:rFonts w:ascii="Century Gothic" w:hAnsi="Century Gothic"/>
                <w:sz w:val="24"/>
                <w:szCs w:val="24"/>
              </w:rPr>
              <w:t>15/09/2025</w:t>
            </w:r>
          </w:p>
          <w:p w14:paraId="201A2978" w14:textId="77777777" w:rsidR="009B4917" w:rsidRPr="00C55210" w:rsidRDefault="009B4917" w:rsidP="00CC2650">
            <w:pPr>
              <w:rPr>
                <w:rFonts w:ascii="Century Gothic" w:hAnsi="Century Gothic"/>
                <w:sz w:val="24"/>
                <w:szCs w:val="24"/>
              </w:rPr>
            </w:pPr>
          </w:p>
        </w:tc>
        <w:tc>
          <w:tcPr>
            <w:tcW w:w="3485" w:type="dxa"/>
          </w:tcPr>
          <w:p w14:paraId="26B5AB26" w14:textId="1C1C8B7E" w:rsidR="009B4917" w:rsidRPr="00C55210" w:rsidRDefault="001319B5" w:rsidP="00CC2650">
            <w:pPr>
              <w:rPr>
                <w:rFonts w:ascii="Century Gothic" w:hAnsi="Century Gothic"/>
                <w:sz w:val="24"/>
                <w:szCs w:val="24"/>
              </w:rPr>
            </w:pPr>
            <w:r>
              <w:rPr>
                <w:rFonts w:ascii="Century Gothic" w:hAnsi="Century Gothic"/>
                <w:sz w:val="24"/>
                <w:szCs w:val="24"/>
              </w:rPr>
              <w:t>R Chudley</w:t>
            </w:r>
          </w:p>
        </w:tc>
        <w:tc>
          <w:tcPr>
            <w:tcW w:w="3486" w:type="dxa"/>
          </w:tcPr>
          <w:p w14:paraId="2273A061" w14:textId="5D7C43C3" w:rsidR="009B4917" w:rsidRPr="00C55210" w:rsidRDefault="001319B5" w:rsidP="00CC2650">
            <w:pPr>
              <w:rPr>
                <w:rFonts w:ascii="Century Gothic" w:hAnsi="Century Gothic"/>
                <w:sz w:val="24"/>
                <w:szCs w:val="24"/>
              </w:rPr>
            </w:pPr>
            <w:r>
              <w:rPr>
                <w:rFonts w:ascii="Century Gothic" w:hAnsi="Century Gothic"/>
                <w:sz w:val="24"/>
                <w:szCs w:val="24"/>
              </w:rPr>
              <w:t>15/09/2026</w:t>
            </w:r>
          </w:p>
        </w:tc>
      </w:tr>
    </w:tbl>
    <w:p w14:paraId="4E0DAE67" w14:textId="77777777" w:rsidR="008F0827" w:rsidRPr="009B4917" w:rsidRDefault="008F0827" w:rsidP="009B4917"/>
    <w:sectPr w:rsidR="008F0827" w:rsidRPr="009B4917" w:rsidSect="00F87D0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F64D7" w14:textId="77777777" w:rsidR="00D42A78" w:rsidRDefault="00D42A78" w:rsidP="00F87D0A">
      <w:pPr>
        <w:spacing w:after="0" w:line="240" w:lineRule="auto"/>
      </w:pPr>
      <w:r>
        <w:separator/>
      </w:r>
    </w:p>
  </w:endnote>
  <w:endnote w:type="continuationSeparator" w:id="0">
    <w:p w14:paraId="5A0A78D2" w14:textId="77777777" w:rsidR="00D42A78" w:rsidRDefault="00D42A78"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F8EE" w14:textId="77777777" w:rsidR="00D42A78" w:rsidRDefault="00D42A78" w:rsidP="00F87D0A">
      <w:pPr>
        <w:spacing w:after="0" w:line="240" w:lineRule="auto"/>
      </w:pPr>
      <w:r>
        <w:separator/>
      </w:r>
    </w:p>
  </w:footnote>
  <w:footnote w:type="continuationSeparator" w:id="0">
    <w:p w14:paraId="740F8435" w14:textId="77777777" w:rsidR="00D42A78" w:rsidRDefault="00D42A78"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607E9" w14:textId="4E6D7B10" w:rsidR="00F87D0A" w:rsidRDefault="00FB06C6" w:rsidP="00F87D0A">
    <w:pPr>
      <w:pStyle w:val="Header"/>
      <w:jc w:val="right"/>
    </w:pPr>
    <w:r>
      <w:rPr>
        <w:noProof/>
      </w:rPr>
      <w:drawing>
        <wp:anchor distT="0" distB="0" distL="114300" distR="114300" simplePos="0" relativeHeight="251659264" behindDoc="1" locked="0" layoutInCell="1" allowOverlap="1" wp14:anchorId="5916F40C" wp14:editId="4C1BA595">
          <wp:simplePos x="0" y="0"/>
          <wp:positionH relativeFrom="column">
            <wp:posOffset>6096000</wp:posOffset>
          </wp:positionH>
          <wp:positionV relativeFrom="paragraph">
            <wp:posOffset>-358775</wp:posOffset>
          </wp:positionV>
          <wp:extent cx="919480" cy="861060"/>
          <wp:effectExtent l="0" t="0" r="0" b="0"/>
          <wp:wrapTight wrapText="bothSides">
            <wp:wrapPolygon edited="0">
              <wp:start x="16110" y="0"/>
              <wp:lineTo x="5370" y="5735"/>
              <wp:lineTo x="3580" y="7168"/>
              <wp:lineTo x="4475" y="16248"/>
              <wp:lineTo x="0" y="18159"/>
              <wp:lineTo x="448" y="21027"/>
              <wp:lineTo x="10293" y="21027"/>
              <wp:lineTo x="12530" y="21027"/>
              <wp:lineTo x="21033" y="21027"/>
              <wp:lineTo x="21033" y="19115"/>
              <wp:lineTo x="18348" y="16248"/>
              <wp:lineTo x="16558" y="8602"/>
              <wp:lineTo x="19691" y="6690"/>
              <wp:lineTo x="20138" y="4301"/>
              <wp:lineTo x="18348" y="0"/>
              <wp:lineTo x="16110"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9194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EA631E" w14:textId="77777777"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891539">
    <w:abstractNumId w:val="1"/>
  </w:num>
  <w:num w:numId="2" w16cid:durableId="1001738278">
    <w:abstractNumId w:val="3"/>
  </w:num>
  <w:num w:numId="3" w16cid:durableId="507402996">
    <w:abstractNumId w:val="0"/>
  </w:num>
  <w:num w:numId="4" w16cid:durableId="415056467">
    <w:abstractNumId w:val="9"/>
  </w:num>
  <w:num w:numId="5" w16cid:durableId="1429615121">
    <w:abstractNumId w:val="4"/>
  </w:num>
  <w:num w:numId="6" w16cid:durableId="151994323">
    <w:abstractNumId w:val="10"/>
  </w:num>
  <w:num w:numId="7" w16cid:durableId="2143888435">
    <w:abstractNumId w:val="5"/>
  </w:num>
  <w:num w:numId="8" w16cid:durableId="1945570505">
    <w:abstractNumId w:val="6"/>
  </w:num>
  <w:num w:numId="9" w16cid:durableId="876309266">
    <w:abstractNumId w:val="2"/>
  </w:num>
  <w:num w:numId="10" w16cid:durableId="464470674">
    <w:abstractNumId w:val="11"/>
  </w:num>
  <w:num w:numId="11" w16cid:durableId="735472582">
    <w:abstractNumId w:val="8"/>
  </w:num>
  <w:num w:numId="12" w16cid:durableId="502864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1319B5"/>
    <w:rsid w:val="00207AC9"/>
    <w:rsid w:val="002969FC"/>
    <w:rsid w:val="002B4A22"/>
    <w:rsid w:val="003357CB"/>
    <w:rsid w:val="0037570C"/>
    <w:rsid w:val="003868F8"/>
    <w:rsid w:val="003C19CB"/>
    <w:rsid w:val="003C2EA9"/>
    <w:rsid w:val="004232C7"/>
    <w:rsid w:val="00495029"/>
    <w:rsid w:val="00627033"/>
    <w:rsid w:val="0066393A"/>
    <w:rsid w:val="006B4535"/>
    <w:rsid w:val="00801EE6"/>
    <w:rsid w:val="008826D2"/>
    <w:rsid w:val="008D5752"/>
    <w:rsid w:val="008F0827"/>
    <w:rsid w:val="009374F8"/>
    <w:rsid w:val="009B4917"/>
    <w:rsid w:val="00A05DFB"/>
    <w:rsid w:val="00AC521F"/>
    <w:rsid w:val="00B42D49"/>
    <w:rsid w:val="00B806F7"/>
    <w:rsid w:val="00B8307D"/>
    <w:rsid w:val="00B9049B"/>
    <w:rsid w:val="00C436B2"/>
    <w:rsid w:val="00CC7BCF"/>
    <w:rsid w:val="00D42A78"/>
    <w:rsid w:val="00D449E2"/>
    <w:rsid w:val="00D53809"/>
    <w:rsid w:val="00DE3425"/>
    <w:rsid w:val="00DF0B19"/>
    <w:rsid w:val="00E867EA"/>
    <w:rsid w:val="00EF5CD0"/>
    <w:rsid w:val="00F87D0A"/>
    <w:rsid w:val="00FB0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876BA"/>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9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B31DE-0055-4DAC-B69A-3CAA64709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0607A-5795-4315-82EE-80D5B6B3353B}">
  <ds:schemaRefs>
    <ds:schemaRef ds:uri="http://schemas.microsoft.com/sharepoint/v3/contenttype/forms"/>
  </ds:schemaRefs>
</ds:datastoreItem>
</file>

<file path=customXml/itemProps3.xml><?xml version="1.0" encoding="utf-8"?>
<ds:datastoreItem xmlns:ds="http://schemas.openxmlformats.org/officeDocument/2006/customXml" ds:itemID="{78E7288D-A847-421A-B415-CFD296DD10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Rebecca Chudley</cp:lastModifiedBy>
  <cp:revision>13</cp:revision>
  <cp:lastPrinted>2023-06-06T14:35:00Z</cp:lastPrinted>
  <dcterms:created xsi:type="dcterms:W3CDTF">2017-06-13T15:56:00Z</dcterms:created>
  <dcterms:modified xsi:type="dcterms:W3CDTF">2025-09-15T11:33:00Z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