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9C2F" w14:textId="77777777" w:rsidR="0000506B" w:rsidRPr="00C55210" w:rsidRDefault="0000506B" w:rsidP="0000506B">
      <w:pPr>
        <w:jc w:val="center"/>
        <w:rPr>
          <w:rFonts w:ascii="Century Gothic" w:hAnsi="Century Gothic"/>
          <w:b/>
          <w:sz w:val="24"/>
          <w:szCs w:val="24"/>
          <w:u w:val="single"/>
        </w:rPr>
      </w:pPr>
      <w:r w:rsidRPr="00C55210">
        <w:rPr>
          <w:rFonts w:ascii="Century Gothic" w:hAnsi="Century Gothic"/>
          <w:b/>
          <w:sz w:val="24"/>
          <w:szCs w:val="24"/>
          <w:u w:val="single"/>
        </w:rPr>
        <w:t>Supporting Transitions:</w:t>
      </w:r>
    </w:p>
    <w:p w14:paraId="2DBAAD16" w14:textId="3913BFEF" w:rsidR="0000506B" w:rsidRPr="00C55210" w:rsidRDefault="0000506B" w:rsidP="008D2B4A">
      <w:pPr>
        <w:jc w:val="both"/>
        <w:rPr>
          <w:rFonts w:ascii="Century Gothic" w:hAnsi="Century Gothic"/>
          <w:sz w:val="24"/>
          <w:szCs w:val="24"/>
        </w:rPr>
      </w:pPr>
      <w:r w:rsidRPr="00C55210">
        <w:rPr>
          <w:rFonts w:ascii="Century Gothic" w:hAnsi="Century Gothic"/>
          <w:sz w:val="24"/>
          <w:szCs w:val="24"/>
        </w:rPr>
        <w:t xml:space="preserve">Children experience many transitions in their early years, some of these are planned and some unplanned. The team are sensitive to the </w:t>
      </w:r>
      <w:r w:rsidR="00EE6368" w:rsidRPr="00C55210">
        <w:rPr>
          <w:rFonts w:ascii="Century Gothic" w:hAnsi="Century Gothic"/>
          <w:sz w:val="24"/>
          <w:szCs w:val="24"/>
        </w:rPr>
        <w:t>difficult</w:t>
      </w:r>
      <w:r w:rsidR="00EE6368">
        <w:rPr>
          <w:rFonts w:ascii="Century Gothic" w:hAnsi="Century Gothic"/>
          <w:sz w:val="24"/>
          <w:szCs w:val="24"/>
        </w:rPr>
        <w:t>ies</w:t>
      </w:r>
      <w:r w:rsidRPr="00C55210">
        <w:rPr>
          <w:rFonts w:ascii="Century Gothic" w:hAnsi="Century Gothic"/>
          <w:sz w:val="24"/>
          <w:szCs w:val="24"/>
        </w:rPr>
        <w:t xml:space="preserve"> children may have whilst going through these transitions. Some examples of transitions that young children and babies may experience: </w:t>
      </w:r>
    </w:p>
    <w:p w14:paraId="6D8F020D"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Starting nursery</w:t>
      </w:r>
    </w:p>
    <w:p w14:paraId="224E9D7E"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Moving between different rooms within the nursery</w:t>
      </w:r>
    </w:p>
    <w:p w14:paraId="3CFCAC7C"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Starting school or moving nurseries</w:t>
      </w:r>
    </w:p>
    <w:p w14:paraId="4471F65A"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Family breakdowns</w:t>
      </w:r>
    </w:p>
    <w:p w14:paraId="6304A459"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New siblings</w:t>
      </w:r>
    </w:p>
    <w:p w14:paraId="4421D960"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Moving home</w:t>
      </w:r>
    </w:p>
    <w:p w14:paraId="619D190E"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Death of a family member</w:t>
      </w:r>
    </w:p>
    <w:p w14:paraId="62D71E7A"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Death of a family pet</w:t>
      </w:r>
    </w:p>
    <w:p w14:paraId="71B919D7" w14:textId="040ED91E" w:rsidR="0000506B" w:rsidRDefault="00B8623E" w:rsidP="008D2B4A">
      <w:pPr>
        <w:jc w:val="both"/>
        <w:rPr>
          <w:rFonts w:ascii="Century Gothic" w:hAnsi="Century Gothic"/>
          <w:sz w:val="24"/>
          <w:szCs w:val="24"/>
        </w:rPr>
      </w:pPr>
      <w:r>
        <w:rPr>
          <w:rFonts w:ascii="Century Gothic" w:hAnsi="Century Gothic"/>
          <w:sz w:val="24"/>
          <w:szCs w:val="24"/>
        </w:rPr>
        <w:t>The t</w:t>
      </w:r>
      <w:r w:rsidR="0000506B" w:rsidRPr="00C55210">
        <w:rPr>
          <w:rFonts w:ascii="Century Gothic" w:hAnsi="Century Gothic"/>
          <w:sz w:val="24"/>
          <w:szCs w:val="24"/>
        </w:rPr>
        <w:t>eam</w:t>
      </w:r>
      <w:r>
        <w:rPr>
          <w:rFonts w:ascii="Century Gothic" w:hAnsi="Century Gothic"/>
          <w:sz w:val="24"/>
          <w:szCs w:val="24"/>
        </w:rPr>
        <w:t xml:space="preserve"> at the </w:t>
      </w:r>
      <w:r w:rsidR="00F0096D">
        <w:rPr>
          <w:rFonts w:ascii="Century Gothic" w:hAnsi="Century Gothic"/>
          <w:sz w:val="24"/>
          <w:szCs w:val="24"/>
        </w:rPr>
        <w:t>R</w:t>
      </w:r>
      <w:r>
        <w:rPr>
          <w:rFonts w:ascii="Century Gothic" w:hAnsi="Century Gothic"/>
          <w:sz w:val="24"/>
          <w:szCs w:val="24"/>
        </w:rPr>
        <w:t xml:space="preserve">ailway </w:t>
      </w:r>
      <w:r w:rsidR="00F0096D">
        <w:rPr>
          <w:rFonts w:ascii="Century Gothic" w:hAnsi="Century Gothic"/>
          <w:sz w:val="24"/>
          <w:szCs w:val="24"/>
        </w:rPr>
        <w:t>C</w:t>
      </w:r>
      <w:r>
        <w:rPr>
          <w:rFonts w:ascii="Century Gothic" w:hAnsi="Century Gothic"/>
          <w:sz w:val="24"/>
          <w:szCs w:val="24"/>
        </w:rPr>
        <w:t>hildren</w:t>
      </w:r>
      <w:r w:rsidR="0000506B" w:rsidRPr="00C55210">
        <w:rPr>
          <w:rFonts w:ascii="Century Gothic" w:hAnsi="Century Gothic"/>
          <w:sz w:val="24"/>
          <w:szCs w:val="24"/>
        </w:rPr>
        <w:t xml:space="preserve"> </w:t>
      </w:r>
      <w:r w:rsidR="00F0096D">
        <w:rPr>
          <w:rFonts w:ascii="Century Gothic" w:hAnsi="Century Gothic"/>
          <w:sz w:val="24"/>
          <w:szCs w:val="24"/>
        </w:rPr>
        <w:t>are</w:t>
      </w:r>
      <w:r w:rsidR="0000506B" w:rsidRPr="00C55210">
        <w:rPr>
          <w:rFonts w:ascii="Century Gothic" w:hAnsi="Century Gothic"/>
          <w:sz w:val="24"/>
          <w:szCs w:val="24"/>
        </w:rPr>
        <w:t xml:space="preserve"> trained to observe their key children and as such will be sensitive to any changes in their behaviour and personality. We respectfully ask that parents inform us of any changes in the home environment that may impact on their </w:t>
      </w:r>
      <w:r w:rsidR="00EE6368" w:rsidRPr="00C55210">
        <w:rPr>
          <w:rFonts w:ascii="Century Gothic" w:hAnsi="Century Gothic"/>
          <w:sz w:val="24"/>
          <w:szCs w:val="24"/>
        </w:rPr>
        <w:t>child,</w:t>
      </w:r>
      <w:r w:rsidR="0000506B" w:rsidRPr="00C55210">
        <w:rPr>
          <w:rFonts w:ascii="Century Gothic" w:hAnsi="Century Gothic"/>
          <w:sz w:val="24"/>
          <w:szCs w:val="24"/>
        </w:rPr>
        <w:t xml:space="preserve"> so the team can be aware of the reasons behind any potential changes in the child’s character / behaviour. </w:t>
      </w:r>
    </w:p>
    <w:p w14:paraId="658E4933" w14:textId="03FDD902" w:rsidR="00EE6368" w:rsidRDefault="00EE6368" w:rsidP="008D2B4A">
      <w:pPr>
        <w:jc w:val="both"/>
        <w:rPr>
          <w:rFonts w:ascii="Century Gothic" w:hAnsi="Century Gothic"/>
          <w:b/>
          <w:sz w:val="24"/>
          <w:szCs w:val="24"/>
        </w:rPr>
      </w:pPr>
      <w:r w:rsidRPr="00EE6368">
        <w:rPr>
          <w:rFonts w:ascii="Century Gothic" w:hAnsi="Century Gothic"/>
          <w:b/>
          <w:sz w:val="24"/>
          <w:szCs w:val="24"/>
        </w:rPr>
        <w:t>Starting nursery:</w:t>
      </w:r>
    </w:p>
    <w:p w14:paraId="3C7AC252" w14:textId="7CFE2D3F" w:rsidR="00EE6368" w:rsidRPr="00EE6368" w:rsidRDefault="00EE6368" w:rsidP="008D2B4A">
      <w:pPr>
        <w:jc w:val="both"/>
        <w:rPr>
          <w:rFonts w:ascii="Century Gothic" w:hAnsi="Century Gothic"/>
          <w:sz w:val="24"/>
          <w:szCs w:val="24"/>
        </w:rPr>
      </w:pPr>
      <w:r w:rsidRPr="00EE6368">
        <w:rPr>
          <w:rFonts w:ascii="Century Gothic" w:hAnsi="Century Gothic"/>
          <w:sz w:val="24"/>
          <w:szCs w:val="24"/>
        </w:rPr>
        <w:t xml:space="preserve">Nursery for many children is the first point of call in which they separate from their parents/carers, so we understand how this can be a traumatic time for some young children and we do everything we can to ensure a smooth transition. </w:t>
      </w:r>
      <w:r w:rsidR="00B20237">
        <w:rPr>
          <w:rFonts w:ascii="Century Gothic" w:hAnsi="Century Gothic"/>
          <w:sz w:val="24"/>
          <w:szCs w:val="24"/>
        </w:rPr>
        <w:t>Parents are emailed with a ‘welcome pack’ before there child starts, this includes ways parents can prepare their baby/child starting nursery</w:t>
      </w:r>
      <w:r w:rsidR="008D2B4A">
        <w:rPr>
          <w:rFonts w:ascii="Century Gothic" w:hAnsi="Century Gothic"/>
          <w:sz w:val="24"/>
          <w:szCs w:val="24"/>
        </w:rPr>
        <w:t xml:space="preserve">, what to expect etc. </w:t>
      </w:r>
    </w:p>
    <w:p w14:paraId="6521400B" w14:textId="77777777" w:rsidR="0000506B" w:rsidRPr="00C55210" w:rsidRDefault="0000506B" w:rsidP="008D2B4A">
      <w:pPr>
        <w:jc w:val="both"/>
        <w:rPr>
          <w:rFonts w:ascii="Century Gothic" w:hAnsi="Century Gothic"/>
          <w:b/>
          <w:sz w:val="24"/>
          <w:szCs w:val="24"/>
        </w:rPr>
      </w:pPr>
      <w:r w:rsidRPr="00C55210">
        <w:rPr>
          <w:rFonts w:ascii="Century Gothic" w:hAnsi="Century Gothic"/>
          <w:b/>
          <w:sz w:val="24"/>
          <w:szCs w:val="24"/>
        </w:rPr>
        <w:t xml:space="preserve">Supporting transitions in the nursery: </w:t>
      </w:r>
    </w:p>
    <w:p w14:paraId="47A2D869" w14:textId="77777777" w:rsidR="0000506B" w:rsidRPr="00C55210" w:rsidRDefault="0000506B" w:rsidP="008D2B4A">
      <w:pPr>
        <w:jc w:val="both"/>
        <w:rPr>
          <w:rFonts w:ascii="Century Gothic" w:hAnsi="Century Gothic"/>
          <w:sz w:val="24"/>
          <w:szCs w:val="24"/>
        </w:rPr>
      </w:pPr>
      <w:r w:rsidRPr="00C55210">
        <w:rPr>
          <w:rFonts w:ascii="Century Gothic" w:hAnsi="Century Gothic"/>
          <w:sz w:val="24"/>
          <w:szCs w:val="24"/>
        </w:rPr>
        <w:t>The nursery will support all children in the nursery with any transitions they may be encountering. If the transitions relate to the child starting at the nursery we will follow our settling in policy. If the transitions are due to occur at the nursery, e.g. room changes, the nursery will fully support the child through the process in the following ways:</w:t>
      </w:r>
    </w:p>
    <w:p w14:paraId="4D551BFF" w14:textId="77777777" w:rsidR="0000506B" w:rsidRPr="00C55210" w:rsidRDefault="0000506B" w:rsidP="008D2B4A">
      <w:pPr>
        <w:pStyle w:val="ListParagraph"/>
        <w:jc w:val="both"/>
        <w:rPr>
          <w:rFonts w:ascii="Century Gothic" w:hAnsi="Century Gothic"/>
          <w:sz w:val="24"/>
          <w:szCs w:val="24"/>
        </w:rPr>
      </w:pPr>
      <w:r w:rsidRPr="00C55210">
        <w:rPr>
          <w:rFonts w:ascii="Century Gothic" w:hAnsi="Century Gothic"/>
          <w:sz w:val="24"/>
          <w:szCs w:val="24"/>
        </w:rPr>
        <w:t>Moving room procedure:</w:t>
      </w:r>
    </w:p>
    <w:p w14:paraId="551FD609"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 xml:space="preserve">If the child is due to move room due to the age and stage readiness, we will work with the parent to ensure this is a seamless process in which the child is fully supported at all stages. </w:t>
      </w:r>
    </w:p>
    <w:p w14:paraId="4162ED4A" w14:textId="599D5DE1"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 xml:space="preserve">The child will spend short sessions in their new room prior to the permanent move to enable them to feel comfortable in their new surroundings. The child’s key person will go with the child on these initial visits to enable a familiar person to </w:t>
      </w:r>
      <w:r w:rsidR="002056A5" w:rsidRPr="00C55210">
        <w:rPr>
          <w:rFonts w:ascii="Century Gothic" w:hAnsi="Century Gothic"/>
          <w:sz w:val="24"/>
          <w:szCs w:val="24"/>
        </w:rPr>
        <w:t>be always present</w:t>
      </w:r>
      <w:r w:rsidRPr="00C55210">
        <w:rPr>
          <w:rFonts w:ascii="Century Gothic" w:hAnsi="Century Gothic"/>
          <w:sz w:val="24"/>
          <w:szCs w:val="24"/>
        </w:rPr>
        <w:t>.</w:t>
      </w:r>
    </w:p>
    <w:p w14:paraId="0B35F771"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 xml:space="preserve">Where ever possible, groups of friends will be moved together to enable these friendships to be kept intact and support the children with the peers that they know. </w:t>
      </w:r>
    </w:p>
    <w:p w14:paraId="30626F70"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 xml:space="preserve">Parents will be kept informed of all visits and the outcomes of these sessions e.g. through photographs, discussions or diary entries. </w:t>
      </w:r>
    </w:p>
    <w:p w14:paraId="4B59D6CE"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 xml:space="preserve">Only when the child has settled in through these taster sessions will the permanent room move take place. If a child requires more support this will be discussed between </w:t>
      </w:r>
      <w:r w:rsidRPr="00C55210">
        <w:rPr>
          <w:rFonts w:ascii="Century Gothic" w:hAnsi="Century Gothic"/>
          <w:sz w:val="24"/>
          <w:szCs w:val="24"/>
        </w:rPr>
        <w:lastRenderedPageBreak/>
        <w:t xml:space="preserve">the key person, parents, Manager and lead practitioner of the new room to enable this to occur. </w:t>
      </w:r>
    </w:p>
    <w:p w14:paraId="509282BD" w14:textId="6B0D9DE9" w:rsidR="0000506B"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 xml:space="preserve">The child’s current key person will arrange a meeting for the parents to meet the new key person and have a meeting to discuss the child’s needs. </w:t>
      </w:r>
    </w:p>
    <w:p w14:paraId="046FF49A" w14:textId="77777777" w:rsidR="00EE6368" w:rsidRPr="00C55210" w:rsidRDefault="00EE6368" w:rsidP="008D2B4A">
      <w:pPr>
        <w:pStyle w:val="ListParagraph"/>
        <w:jc w:val="both"/>
        <w:rPr>
          <w:rFonts w:ascii="Century Gothic" w:hAnsi="Century Gothic"/>
          <w:sz w:val="24"/>
          <w:szCs w:val="24"/>
        </w:rPr>
      </w:pPr>
    </w:p>
    <w:p w14:paraId="1FAE67B3" w14:textId="77777777" w:rsidR="0000506B" w:rsidRPr="00C55210" w:rsidRDefault="0000506B" w:rsidP="008D2B4A">
      <w:pPr>
        <w:jc w:val="both"/>
        <w:rPr>
          <w:rFonts w:ascii="Century Gothic" w:hAnsi="Century Gothic"/>
          <w:b/>
          <w:sz w:val="24"/>
          <w:szCs w:val="24"/>
        </w:rPr>
      </w:pPr>
      <w:r w:rsidRPr="00C55210">
        <w:rPr>
          <w:rFonts w:ascii="Century Gothic" w:hAnsi="Century Gothic"/>
          <w:b/>
          <w:sz w:val="24"/>
          <w:szCs w:val="24"/>
        </w:rPr>
        <w:t xml:space="preserve">Starting School: </w:t>
      </w:r>
    </w:p>
    <w:p w14:paraId="00CD0C1B" w14:textId="77777777" w:rsidR="0000506B" w:rsidRPr="00C55210" w:rsidRDefault="0000506B" w:rsidP="008D2B4A">
      <w:pPr>
        <w:jc w:val="both"/>
        <w:rPr>
          <w:rFonts w:ascii="Century Gothic" w:hAnsi="Century Gothic"/>
          <w:sz w:val="24"/>
          <w:szCs w:val="24"/>
        </w:rPr>
      </w:pPr>
      <w:r w:rsidRPr="00C55210">
        <w:rPr>
          <w:rFonts w:ascii="Century Gothic" w:hAnsi="Century Gothic"/>
          <w:sz w:val="24"/>
          <w:szCs w:val="24"/>
        </w:rPr>
        <w:t>Starting school is a huge transition and the nursery will do all it can to facilitate a smooth move. We have a variety of methods that support this:</w:t>
      </w:r>
    </w:p>
    <w:p w14:paraId="555625A0" w14:textId="04012E8D"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The nursery may invite school representatives into the nursery to introduce them to the children</w:t>
      </w:r>
      <w:r w:rsidR="00611916">
        <w:rPr>
          <w:rFonts w:ascii="Century Gothic" w:hAnsi="Century Gothic"/>
          <w:sz w:val="24"/>
          <w:szCs w:val="24"/>
        </w:rPr>
        <w:t>.</w:t>
      </w:r>
    </w:p>
    <w:p w14:paraId="64EE3F58" w14:textId="77777777" w:rsidR="0000506B" w:rsidRPr="00C55210"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 xml:space="preserve">The key person will initiate conversations with their key children, who are due to move to school, about the school and discuss what they think may be different and what may be the same. They will talk through any concerns that the child may have and initiate activities or group discussions relating to any issues enabling these to be overcome. </w:t>
      </w:r>
    </w:p>
    <w:p w14:paraId="2300FE91" w14:textId="77777777" w:rsidR="0000506B" w:rsidRDefault="0000506B" w:rsidP="008D2B4A">
      <w:pPr>
        <w:pStyle w:val="ListParagraph"/>
        <w:numPr>
          <w:ilvl w:val="0"/>
          <w:numId w:val="1"/>
        </w:numPr>
        <w:jc w:val="both"/>
        <w:rPr>
          <w:rFonts w:ascii="Century Gothic" w:hAnsi="Century Gothic"/>
          <w:sz w:val="24"/>
          <w:szCs w:val="24"/>
        </w:rPr>
      </w:pPr>
      <w:r w:rsidRPr="00C55210">
        <w:rPr>
          <w:rFonts w:ascii="Century Gothic" w:hAnsi="Century Gothic"/>
          <w:sz w:val="24"/>
          <w:szCs w:val="24"/>
        </w:rPr>
        <w:t xml:space="preserve">The nursery will ensure a comprehensive report Is produced on each child starting school to enable teachers to have a good understanding of each child received. This will include their interests and their level of understanding and development in key areas. This supports the continuity of care and early learning. </w:t>
      </w:r>
    </w:p>
    <w:p w14:paraId="1F5D4F2F" w14:textId="65A494F8" w:rsidR="00AC2991" w:rsidRPr="00C55210" w:rsidRDefault="00AC2991" w:rsidP="008D2B4A">
      <w:pPr>
        <w:pStyle w:val="ListParagraph"/>
        <w:numPr>
          <w:ilvl w:val="0"/>
          <w:numId w:val="1"/>
        </w:numPr>
        <w:jc w:val="both"/>
        <w:rPr>
          <w:rFonts w:ascii="Century Gothic" w:hAnsi="Century Gothic"/>
          <w:sz w:val="24"/>
          <w:szCs w:val="24"/>
        </w:rPr>
      </w:pPr>
      <w:r>
        <w:rPr>
          <w:rFonts w:ascii="Century Gothic" w:hAnsi="Century Gothic"/>
          <w:sz w:val="24"/>
          <w:szCs w:val="24"/>
        </w:rPr>
        <w:t>Should any children require additional meetings with the school to ensure they have adequate support for any additional needs, the nursery SENCo Hannah Pearce will coordinate a PCP meeting between all agencies involved in the child’s education.</w:t>
      </w:r>
    </w:p>
    <w:p w14:paraId="7832D438" w14:textId="77777777" w:rsidR="0000506B" w:rsidRPr="00C55210" w:rsidRDefault="0000506B" w:rsidP="008D2B4A">
      <w:pPr>
        <w:jc w:val="both"/>
        <w:rPr>
          <w:rFonts w:ascii="Century Gothic" w:hAnsi="Century Gothic"/>
          <w:b/>
          <w:sz w:val="24"/>
          <w:szCs w:val="24"/>
        </w:rPr>
      </w:pPr>
      <w:r w:rsidRPr="00C55210">
        <w:rPr>
          <w:rFonts w:ascii="Century Gothic" w:hAnsi="Century Gothic"/>
          <w:b/>
          <w:sz w:val="24"/>
          <w:szCs w:val="24"/>
        </w:rPr>
        <w:t xml:space="preserve">Family breakdowns: </w:t>
      </w:r>
    </w:p>
    <w:p w14:paraId="5104567D" w14:textId="77777777" w:rsidR="0000506B" w:rsidRPr="00C55210" w:rsidRDefault="0000506B" w:rsidP="008D2B4A">
      <w:pPr>
        <w:jc w:val="both"/>
        <w:rPr>
          <w:rFonts w:ascii="Century Gothic" w:hAnsi="Century Gothic"/>
          <w:sz w:val="24"/>
          <w:szCs w:val="24"/>
        </w:rPr>
      </w:pPr>
      <w:r w:rsidRPr="00C55210">
        <w:rPr>
          <w:rFonts w:ascii="Century Gothic" w:hAnsi="Century Gothic"/>
          <w:sz w:val="24"/>
          <w:szCs w:val="24"/>
        </w:rPr>
        <w:t xml:space="preserve">When parents separate it is a difficult situation for all concerned. Please refer to the separated families’ policy which shows how the nursery will act in the best interest of the child. </w:t>
      </w:r>
    </w:p>
    <w:p w14:paraId="2E76D3DA" w14:textId="77777777" w:rsidR="0000506B" w:rsidRPr="00C55210" w:rsidRDefault="0000506B" w:rsidP="008D2B4A">
      <w:pPr>
        <w:jc w:val="both"/>
        <w:rPr>
          <w:rFonts w:ascii="Century Gothic" w:hAnsi="Century Gothic"/>
          <w:b/>
          <w:sz w:val="24"/>
          <w:szCs w:val="24"/>
        </w:rPr>
      </w:pPr>
      <w:r w:rsidRPr="00C55210">
        <w:rPr>
          <w:rFonts w:ascii="Century Gothic" w:hAnsi="Century Gothic"/>
          <w:b/>
          <w:sz w:val="24"/>
          <w:szCs w:val="24"/>
        </w:rPr>
        <w:t xml:space="preserve">Moving home and new siblings: </w:t>
      </w:r>
    </w:p>
    <w:p w14:paraId="1FAA0EE4" w14:textId="500B6BD3" w:rsidR="0000506B" w:rsidRDefault="0000506B" w:rsidP="008D2B4A">
      <w:pPr>
        <w:jc w:val="both"/>
        <w:rPr>
          <w:rFonts w:ascii="Century Gothic" w:hAnsi="Century Gothic"/>
          <w:sz w:val="24"/>
          <w:szCs w:val="24"/>
        </w:rPr>
      </w:pPr>
      <w:r w:rsidRPr="00C55210">
        <w:rPr>
          <w:rFonts w:ascii="Century Gothic" w:hAnsi="Century Gothic"/>
          <w:sz w:val="24"/>
          <w:szCs w:val="24"/>
        </w:rPr>
        <w:t xml:space="preserve">These are normally two events that parents will have advance notice of, and we ask that parents let the nursery know about these </w:t>
      </w:r>
      <w:r w:rsidR="00EE6368" w:rsidRPr="00C55210">
        <w:rPr>
          <w:rFonts w:ascii="Century Gothic" w:hAnsi="Century Gothic"/>
          <w:sz w:val="24"/>
          <w:szCs w:val="24"/>
        </w:rPr>
        <w:t>events,</w:t>
      </w:r>
      <w:r w:rsidRPr="00C55210">
        <w:rPr>
          <w:rFonts w:ascii="Century Gothic" w:hAnsi="Century Gothic"/>
          <w:sz w:val="24"/>
          <w:szCs w:val="24"/>
        </w:rPr>
        <w:t xml:space="preserve"> so we can support the child to be ready for this. We will talk to the child and provide activities that may help the child to act out any worries that they may have, e.g. through role play, stories and discussions. Parents may also consider placing their child into the nursery for additional sessions during these events to provide them with consistency and time away from the changes occurring.</w:t>
      </w:r>
    </w:p>
    <w:p w14:paraId="23F5CF9F" w14:textId="77777777" w:rsidR="008D2B4A" w:rsidRDefault="008D2B4A" w:rsidP="0000506B">
      <w:pPr>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687715" w:rsidRPr="00C25D16" w14:paraId="5EA9B7B0" w14:textId="77777777" w:rsidTr="00642CC1">
        <w:tc>
          <w:tcPr>
            <w:tcW w:w="3485" w:type="dxa"/>
          </w:tcPr>
          <w:p w14:paraId="48058E33" w14:textId="7E5FA502" w:rsidR="00687715" w:rsidRPr="00C25D16" w:rsidRDefault="00687715" w:rsidP="008D2B4A">
            <w:pPr>
              <w:jc w:val="center"/>
              <w:rPr>
                <w:rFonts w:ascii="Century Gothic" w:hAnsi="Century Gothic"/>
                <w:sz w:val="24"/>
                <w:szCs w:val="24"/>
              </w:rPr>
            </w:pPr>
            <w:r w:rsidRPr="00C25D16">
              <w:rPr>
                <w:rFonts w:ascii="Century Gothic" w:hAnsi="Century Gothic"/>
                <w:sz w:val="24"/>
                <w:szCs w:val="24"/>
              </w:rPr>
              <w:t>This policy was adapted:</w:t>
            </w:r>
          </w:p>
        </w:tc>
        <w:tc>
          <w:tcPr>
            <w:tcW w:w="3485" w:type="dxa"/>
          </w:tcPr>
          <w:p w14:paraId="182D0B74" w14:textId="77777777" w:rsidR="00687715" w:rsidRPr="00C25D16" w:rsidRDefault="00687715" w:rsidP="008D2B4A">
            <w:pPr>
              <w:jc w:val="center"/>
              <w:rPr>
                <w:rFonts w:ascii="Century Gothic" w:hAnsi="Century Gothic"/>
                <w:sz w:val="24"/>
                <w:szCs w:val="24"/>
              </w:rPr>
            </w:pPr>
            <w:r w:rsidRPr="00C25D16">
              <w:rPr>
                <w:rFonts w:ascii="Century Gothic" w:hAnsi="Century Gothic"/>
                <w:sz w:val="24"/>
                <w:szCs w:val="24"/>
              </w:rPr>
              <w:t>Signed on behalf of the nursery:</w:t>
            </w:r>
          </w:p>
        </w:tc>
        <w:tc>
          <w:tcPr>
            <w:tcW w:w="3486" w:type="dxa"/>
          </w:tcPr>
          <w:p w14:paraId="131D1B37" w14:textId="364A475F" w:rsidR="00687715" w:rsidRPr="00C25D16" w:rsidRDefault="00687715" w:rsidP="008D2B4A">
            <w:pPr>
              <w:jc w:val="center"/>
              <w:rPr>
                <w:rFonts w:ascii="Century Gothic" w:hAnsi="Century Gothic"/>
                <w:sz w:val="24"/>
                <w:szCs w:val="24"/>
              </w:rPr>
            </w:pPr>
            <w:r w:rsidRPr="00C25D16">
              <w:rPr>
                <w:rFonts w:ascii="Century Gothic" w:hAnsi="Century Gothic"/>
                <w:sz w:val="24"/>
                <w:szCs w:val="24"/>
              </w:rPr>
              <w:t>Date for Review:</w:t>
            </w:r>
          </w:p>
        </w:tc>
      </w:tr>
      <w:tr w:rsidR="00687715" w:rsidRPr="00C25D16" w14:paraId="6EF7131E" w14:textId="77777777" w:rsidTr="00642CC1">
        <w:tc>
          <w:tcPr>
            <w:tcW w:w="3485" w:type="dxa"/>
          </w:tcPr>
          <w:p w14:paraId="2FF8C94F" w14:textId="24CD987C" w:rsidR="00687715" w:rsidRPr="00C25D16" w:rsidRDefault="008D2B4A" w:rsidP="008D2B4A">
            <w:pPr>
              <w:jc w:val="center"/>
              <w:rPr>
                <w:rFonts w:ascii="Century Gothic" w:hAnsi="Century Gothic"/>
                <w:sz w:val="24"/>
                <w:szCs w:val="24"/>
              </w:rPr>
            </w:pPr>
            <w:r>
              <w:rPr>
                <w:rFonts w:ascii="Century Gothic" w:hAnsi="Century Gothic"/>
                <w:sz w:val="24"/>
                <w:szCs w:val="24"/>
              </w:rPr>
              <w:t>12/05/2026</w:t>
            </w:r>
          </w:p>
        </w:tc>
        <w:tc>
          <w:tcPr>
            <w:tcW w:w="3485" w:type="dxa"/>
          </w:tcPr>
          <w:p w14:paraId="764FA487" w14:textId="782F7B6A" w:rsidR="00687715" w:rsidRPr="00C25D16" w:rsidRDefault="008E0A2E" w:rsidP="008D2B4A">
            <w:pPr>
              <w:jc w:val="center"/>
              <w:rPr>
                <w:rFonts w:ascii="Century Gothic" w:hAnsi="Century Gothic"/>
                <w:sz w:val="24"/>
                <w:szCs w:val="24"/>
              </w:rPr>
            </w:pPr>
            <w:r>
              <w:rPr>
                <w:rFonts w:ascii="Century Gothic" w:hAnsi="Century Gothic"/>
                <w:sz w:val="24"/>
                <w:szCs w:val="24"/>
              </w:rPr>
              <w:t>R Chudley</w:t>
            </w:r>
          </w:p>
        </w:tc>
        <w:tc>
          <w:tcPr>
            <w:tcW w:w="3486" w:type="dxa"/>
          </w:tcPr>
          <w:p w14:paraId="6EA7B81E" w14:textId="5AA0D4E9" w:rsidR="00687715" w:rsidRDefault="008D2B4A" w:rsidP="008D2B4A">
            <w:pPr>
              <w:jc w:val="center"/>
              <w:rPr>
                <w:rFonts w:ascii="Century Gothic" w:hAnsi="Century Gothic"/>
                <w:sz w:val="24"/>
                <w:szCs w:val="24"/>
              </w:rPr>
            </w:pPr>
            <w:r>
              <w:rPr>
                <w:rFonts w:ascii="Century Gothic" w:hAnsi="Century Gothic"/>
                <w:sz w:val="24"/>
                <w:szCs w:val="24"/>
              </w:rPr>
              <w:t>Immediately and ongoing</w:t>
            </w:r>
          </w:p>
          <w:p w14:paraId="6867BE29" w14:textId="77777777" w:rsidR="008E0A2E" w:rsidRPr="00C25D16" w:rsidRDefault="008E0A2E" w:rsidP="008D2B4A">
            <w:pPr>
              <w:jc w:val="center"/>
              <w:rPr>
                <w:rFonts w:ascii="Century Gothic" w:hAnsi="Century Gothic"/>
                <w:sz w:val="24"/>
                <w:szCs w:val="24"/>
              </w:rPr>
            </w:pPr>
          </w:p>
        </w:tc>
      </w:tr>
    </w:tbl>
    <w:p w14:paraId="61346534" w14:textId="77777777" w:rsidR="00EE6368" w:rsidRPr="00C55210" w:rsidRDefault="00EE6368" w:rsidP="0000506B">
      <w:pPr>
        <w:rPr>
          <w:rFonts w:ascii="Century Gothic" w:hAnsi="Century Gothic"/>
          <w:sz w:val="24"/>
          <w:szCs w:val="24"/>
        </w:rPr>
      </w:pPr>
    </w:p>
    <w:p w14:paraId="648DA623" w14:textId="77777777" w:rsidR="0000506B" w:rsidRPr="00C55210" w:rsidRDefault="0000506B" w:rsidP="0000506B">
      <w:pPr>
        <w:rPr>
          <w:rFonts w:ascii="Century Gothic" w:hAnsi="Century Gothic"/>
          <w:sz w:val="24"/>
          <w:szCs w:val="24"/>
        </w:rPr>
      </w:pPr>
    </w:p>
    <w:p w14:paraId="292B7B3C" w14:textId="77777777" w:rsidR="0000506B" w:rsidRPr="00C55210" w:rsidRDefault="0000506B" w:rsidP="0000506B">
      <w:pPr>
        <w:rPr>
          <w:rFonts w:ascii="Century Gothic" w:hAnsi="Century Gothic"/>
          <w:sz w:val="24"/>
          <w:szCs w:val="24"/>
        </w:rPr>
      </w:pPr>
    </w:p>
    <w:p w14:paraId="04238391" w14:textId="77777777" w:rsidR="00AC74C9" w:rsidRPr="00C55210" w:rsidRDefault="00AC74C9" w:rsidP="00AC74C9">
      <w:pPr>
        <w:spacing w:after="0" w:line="240" w:lineRule="auto"/>
        <w:rPr>
          <w:rFonts w:ascii="Century Gothic" w:eastAsia="Times New Roman" w:hAnsi="Century Gothic" w:cs="Arial"/>
          <w:sz w:val="24"/>
          <w:szCs w:val="24"/>
          <w:lang w:eastAsia="zh-CN"/>
        </w:rPr>
      </w:pPr>
    </w:p>
    <w:p w14:paraId="617B1230" w14:textId="77777777" w:rsidR="00AC74C9" w:rsidRPr="00C55210" w:rsidRDefault="00AC74C9" w:rsidP="00AC74C9">
      <w:pPr>
        <w:spacing w:after="0" w:line="240" w:lineRule="auto"/>
        <w:rPr>
          <w:rFonts w:ascii="Century Gothic" w:eastAsia="Times New Roman" w:hAnsi="Century Gothic" w:cs="Arial"/>
          <w:sz w:val="24"/>
          <w:szCs w:val="24"/>
          <w:lang w:eastAsia="zh-CN"/>
        </w:rPr>
      </w:pPr>
    </w:p>
    <w:p w14:paraId="4975A456" w14:textId="77777777" w:rsidR="00AC74C9" w:rsidRPr="00C55210" w:rsidRDefault="00AC74C9" w:rsidP="00AC74C9">
      <w:pPr>
        <w:spacing w:after="0" w:line="240" w:lineRule="auto"/>
        <w:rPr>
          <w:rFonts w:ascii="Century Gothic" w:eastAsia="Times New Roman" w:hAnsi="Century Gothic" w:cs="Arial"/>
          <w:sz w:val="24"/>
          <w:szCs w:val="24"/>
          <w:lang w:eastAsia="zh-CN"/>
        </w:rPr>
      </w:pPr>
    </w:p>
    <w:p w14:paraId="412E5C78" w14:textId="77777777" w:rsidR="00AC74C9" w:rsidRDefault="00AC74C9" w:rsidP="00AC74C9">
      <w:pPr>
        <w:jc w:val="center"/>
        <w:rPr>
          <w:rFonts w:ascii="Century Gothic" w:eastAsia="Times New Roman" w:hAnsi="Century Gothic" w:cs="Arial"/>
          <w:sz w:val="24"/>
          <w:szCs w:val="24"/>
          <w:lang w:eastAsia="zh-CN"/>
        </w:rPr>
      </w:pPr>
    </w:p>
    <w:p w14:paraId="2A9E50A5" w14:textId="77777777" w:rsidR="00AC74C9" w:rsidRDefault="00AC74C9" w:rsidP="00AC74C9">
      <w:pPr>
        <w:jc w:val="center"/>
        <w:rPr>
          <w:rFonts w:ascii="Century Gothic" w:hAnsi="Century Gothic"/>
          <w:b/>
          <w:sz w:val="24"/>
          <w:szCs w:val="24"/>
          <w:u w:val="single"/>
        </w:rPr>
      </w:pPr>
    </w:p>
    <w:p w14:paraId="168896BF" w14:textId="77777777" w:rsidR="00AC74C9" w:rsidRDefault="00AC74C9" w:rsidP="00AC74C9">
      <w:pPr>
        <w:jc w:val="center"/>
        <w:rPr>
          <w:rFonts w:ascii="Century Gothic" w:hAnsi="Century Gothic"/>
          <w:b/>
          <w:sz w:val="24"/>
          <w:szCs w:val="24"/>
          <w:u w:val="single"/>
        </w:rPr>
      </w:pPr>
    </w:p>
    <w:p w14:paraId="110BD7D5" w14:textId="77777777" w:rsidR="008F0827" w:rsidRPr="00AC74C9" w:rsidRDefault="008F0827" w:rsidP="00AC74C9"/>
    <w:sectPr w:rsidR="008F0827" w:rsidRPr="00AC74C9"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2BD4" w14:textId="77777777" w:rsidR="0064317A" w:rsidRDefault="0064317A" w:rsidP="00F87D0A">
      <w:pPr>
        <w:spacing w:after="0" w:line="240" w:lineRule="auto"/>
      </w:pPr>
      <w:r>
        <w:separator/>
      </w:r>
    </w:p>
  </w:endnote>
  <w:endnote w:type="continuationSeparator" w:id="0">
    <w:p w14:paraId="1FAE7E78" w14:textId="77777777" w:rsidR="0064317A" w:rsidRDefault="0064317A"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0D4B" w14:textId="77777777" w:rsidR="0064317A" w:rsidRDefault="0064317A" w:rsidP="00F87D0A">
      <w:pPr>
        <w:spacing w:after="0" w:line="240" w:lineRule="auto"/>
      </w:pPr>
      <w:r>
        <w:separator/>
      </w:r>
    </w:p>
  </w:footnote>
  <w:footnote w:type="continuationSeparator" w:id="0">
    <w:p w14:paraId="642CCDCB" w14:textId="77777777" w:rsidR="0064317A" w:rsidRDefault="0064317A"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2113" w14:textId="0DD5E0D0" w:rsidR="00F87D0A" w:rsidRDefault="008E0A2E" w:rsidP="00F87D0A">
    <w:pPr>
      <w:pStyle w:val="Header"/>
      <w:jc w:val="right"/>
    </w:pPr>
    <w:r>
      <w:rPr>
        <w:noProof/>
      </w:rPr>
      <w:drawing>
        <wp:anchor distT="0" distB="0" distL="114300" distR="114300" simplePos="0" relativeHeight="251658240" behindDoc="1" locked="0" layoutInCell="1" allowOverlap="1" wp14:anchorId="611E51D8" wp14:editId="54B67A2F">
          <wp:simplePos x="0" y="0"/>
          <wp:positionH relativeFrom="column">
            <wp:posOffset>6240780</wp:posOffset>
          </wp:positionH>
          <wp:positionV relativeFrom="paragraph">
            <wp:posOffset>-304800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40C94A" w14:textId="445F388E"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35135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4F87"/>
    <w:rsid w:val="0000506B"/>
    <w:rsid w:val="00064549"/>
    <w:rsid w:val="00073239"/>
    <w:rsid w:val="00083226"/>
    <w:rsid w:val="00085CA7"/>
    <w:rsid w:val="000E0EFE"/>
    <w:rsid w:val="000F30A0"/>
    <w:rsid w:val="001564DF"/>
    <w:rsid w:val="00175BC2"/>
    <w:rsid w:val="001D7021"/>
    <w:rsid w:val="002056A5"/>
    <w:rsid w:val="00207AC9"/>
    <w:rsid w:val="0023292E"/>
    <w:rsid w:val="00267718"/>
    <w:rsid w:val="002969FC"/>
    <w:rsid w:val="002B4A22"/>
    <w:rsid w:val="0030586B"/>
    <w:rsid w:val="003357CB"/>
    <w:rsid w:val="003566F1"/>
    <w:rsid w:val="003576E8"/>
    <w:rsid w:val="003868F8"/>
    <w:rsid w:val="003C130B"/>
    <w:rsid w:val="003C19CB"/>
    <w:rsid w:val="004232C7"/>
    <w:rsid w:val="00434C30"/>
    <w:rsid w:val="004745E8"/>
    <w:rsid w:val="00493A6C"/>
    <w:rsid w:val="00495029"/>
    <w:rsid w:val="004D5EAD"/>
    <w:rsid w:val="00500F52"/>
    <w:rsid w:val="00501E56"/>
    <w:rsid w:val="00513880"/>
    <w:rsid w:val="0057023B"/>
    <w:rsid w:val="00581C11"/>
    <w:rsid w:val="005A0634"/>
    <w:rsid w:val="005B0DC2"/>
    <w:rsid w:val="00611916"/>
    <w:rsid w:val="0064317A"/>
    <w:rsid w:val="00656211"/>
    <w:rsid w:val="0066393A"/>
    <w:rsid w:val="006771C5"/>
    <w:rsid w:val="00687715"/>
    <w:rsid w:val="006B4535"/>
    <w:rsid w:val="007433BF"/>
    <w:rsid w:val="00777250"/>
    <w:rsid w:val="007A7F42"/>
    <w:rsid w:val="00801EE6"/>
    <w:rsid w:val="00814DF1"/>
    <w:rsid w:val="00843394"/>
    <w:rsid w:val="008662C5"/>
    <w:rsid w:val="0087296B"/>
    <w:rsid w:val="008B62F6"/>
    <w:rsid w:val="008D2B4A"/>
    <w:rsid w:val="008D5752"/>
    <w:rsid w:val="008E0A2E"/>
    <w:rsid w:val="008E6248"/>
    <w:rsid w:val="008F0827"/>
    <w:rsid w:val="009374F8"/>
    <w:rsid w:val="00950AD6"/>
    <w:rsid w:val="00965351"/>
    <w:rsid w:val="00972A0C"/>
    <w:rsid w:val="00993AF9"/>
    <w:rsid w:val="009B4917"/>
    <w:rsid w:val="009E3088"/>
    <w:rsid w:val="00A44046"/>
    <w:rsid w:val="00A52E34"/>
    <w:rsid w:val="00A6586F"/>
    <w:rsid w:val="00A66EA8"/>
    <w:rsid w:val="00A70B34"/>
    <w:rsid w:val="00AC2991"/>
    <w:rsid w:val="00AC521F"/>
    <w:rsid w:val="00AC589D"/>
    <w:rsid w:val="00AC74C9"/>
    <w:rsid w:val="00B20237"/>
    <w:rsid w:val="00B806F7"/>
    <w:rsid w:val="00B8623E"/>
    <w:rsid w:val="00B9049B"/>
    <w:rsid w:val="00BB05B4"/>
    <w:rsid w:val="00BD6C0F"/>
    <w:rsid w:val="00C16A7B"/>
    <w:rsid w:val="00C436B2"/>
    <w:rsid w:val="00C8453F"/>
    <w:rsid w:val="00CC684B"/>
    <w:rsid w:val="00D00261"/>
    <w:rsid w:val="00D037E2"/>
    <w:rsid w:val="00D12CCB"/>
    <w:rsid w:val="00D449E2"/>
    <w:rsid w:val="00D53809"/>
    <w:rsid w:val="00D711C7"/>
    <w:rsid w:val="00D84890"/>
    <w:rsid w:val="00DC3126"/>
    <w:rsid w:val="00DC63C9"/>
    <w:rsid w:val="00DE7E4D"/>
    <w:rsid w:val="00DF0B19"/>
    <w:rsid w:val="00E867EA"/>
    <w:rsid w:val="00EE6368"/>
    <w:rsid w:val="00EF5CD0"/>
    <w:rsid w:val="00F0096D"/>
    <w:rsid w:val="00F651C0"/>
    <w:rsid w:val="00F66172"/>
    <w:rsid w:val="00F87D0A"/>
    <w:rsid w:val="00FA04E8"/>
    <w:rsid w:val="00FB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EF05D"/>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D5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BEE4A-E817-40F9-92D5-E9E54A54DD60}">
  <ds:schemaRefs>
    <ds:schemaRef ds:uri="http://schemas.openxmlformats.org/officeDocument/2006/bibliography"/>
  </ds:schemaRefs>
</ds:datastoreItem>
</file>

<file path=customXml/itemProps2.xml><?xml version="1.0" encoding="utf-8"?>
<ds:datastoreItem xmlns:ds="http://schemas.openxmlformats.org/officeDocument/2006/customXml" ds:itemID="{2CEFCA8A-AAC6-4754-964A-FD5B554C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FF69D-9A2C-492F-8239-C80C742E8C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6ABB0-C9A7-434A-88D4-6C583590F0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2026-05-12T17:04:00Z</dcterms:created>
  <dcterms:modified xsi:type="dcterms:W3CDTF">2026-05-12T17:04:00Z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