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C5D7" w14:textId="5050D4E9" w:rsidR="00175BC2" w:rsidRPr="00E4347D" w:rsidRDefault="00175BC2" w:rsidP="00175BC2">
      <w:pPr>
        <w:jc w:val="center"/>
        <w:rPr>
          <w:rFonts w:ascii="Century Gothic" w:hAnsi="Century Gothic"/>
          <w:b/>
          <w:sz w:val="24"/>
          <w:u w:val="single"/>
        </w:rPr>
      </w:pPr>
      <w:r w:rsidRPr="00E4347D">
        <w:rPr>
          <w:rFonts w:ascii="Century Gothic" w:hAnsi="Century Gothic"/>
          <w:b/>
          <w:sz w:val="24"/>
          <w:u w:val="single"/>
        </w:rPr>
        <w:t xml:space="preserve">Prevent Duty Policy </w:t>
      </w:r>
    </w:p>
    <w:p w14:paraId="1166B6CE"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This policy is prepared using the following publications  </w:t>
      </w:r>
    </w:p>
    <w:p w14:paraId="2C7FAD51"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 DFE “The Prevent duty. Departmental advice for schools and childcare providers. June 2015” DFE “Keeping children safe in schools July 2015” HM Gov. channel Guidance- Preventing vulnerable people from being drawn into terrorism. 2015  </w:t>
      </w:r>
    </w:p>
    <w:p w14:paraId="2504DE8B" w14:textId="46DA2E1F" w:rsidR="00EE0BB2" w:rsidRPr="008348D5" w:rsidRDefault="00175BC2" w:rsidP="00175BC2">
      <w:pPr>
        <w:jc w:val="both"/>
        <w:rPr>
          <w:rFonts w:ascii="Century Gothic" w:hAnsi="Century Gothic"/>
          <w:sz w:val="24"/>
        </w:rPr>
      </w:pPr>
      <w:r w:rsidRPr="008348D5">
        <w:rPr>
          <w:rFonts w:ascii="Century Gothic" w:hAnsi="Century Gothic"/>
          <w:sz w:val="24"/>
        </w:rPr>
        <w:t xml:space="preserve">POLICY STATEMENT </w:t>
      </w:r>
    </w:p>
    <w:p w14:paraId="11674E2A" w14:textId="432E49DE" w:rsidR="00EE0BB2" w:rsidRPr="008348D5" w:rsidRDefault="00175BC2" w:rsidP="00175BC2">
      <w:pPr>
        <w:jc w:val="both"/>
        <w:rPr>
          <w:rFonts w:ascii="Century Gothic" w:hAnsi="Century Gothic"/>
          <w:sz w:val="24"/>
        </w:rPr>
      </w:pPr>
      <w:r w:rsidRPr="008348D5">
        <w:rPr>
          <w:rFonts w:ascii="Century Gothic" w:hAnsi="Century Gothic"/>
          <w:sz w:val="24"/>
        </w:rPr>
        <w:t xml:space="preserve">From 1 July 2015 all schools, registered early years childcare providers and registered later years childcare providers (referred to in this advice as ‘childcare providers’) are subject to a duty under section 26 of the Counter-Terrorism and Security Act 2015, in the exercise of their functions, to have “due regard to the need to prevent people from being drawn into terrorism”. This duty is known as the Prevent duty. It applies to a wide range of public-facing bodies. </w:t>
      </w:r>
    </w:p>
    <w:p w14:paraId="046DA50E" w14:textId="7CE0D55E" w:rsidR="00175BC2" w:rsidRPr="008348D5" w:rsidRDefault="00175BC2" w:rsidP="00175BC2">
      <w:pPr>
        <w:jc w:val="both"/>
        <w:rPr>
          <w:rFonts w:ascii="Century Gothic" w:hAnsi="Century Gothic"/>
          <w:sz w:val="24"/>
        </w:rPr>
      </w:pPr>
      <w:r w:rsidRPr="008348D5">
        <w:rPr>
          <w:rFonts w:ascii="Century Gothic" w:hAnsi="Century Gothic"/>
          <w:sz w:val="24"/>
        </w:rPr>
        <w:t>What is Radicalis</w:t>
      </w:r>
      <w:r w:rsidR="00A33E45">
        <w:rPr>
          <w:rFonts w:ascii="Century Gothic" w:hAnsi="Century Gothic"/>
          <w:sz w:val="24"/>
        </w:rPr>
        <w:t>ation</w:t>
      </w:r>
      <w:r w:rsidRPr="008348D5">
        <w:rPr>
          <w:rFonts w:ascii="Century Gothic" w:hAnsi="Century Gothic"/>
          <w:sz w:val="24"/>
        </w:rPr>
        <w:t xml:space="preserve">? </w:t>
      </w:r>
    </w:p>
    <w:p w14:paraId="7D61C93F" w14:textId="7560E0C9" w:rsidR="00175BC2" w:rsidRPr="008348D5" w:rsidRDefault="00175BC2" w:rsidP="00175BC2">
      <w:pPr>
        <w:jc w:val="both"/>
        <w:rPr>
          <w:rFonts w:ascii="Century Gothic" w:hAnsi="Century Gothic"/>
          <w:sz w:val="24"/>
        </w:rPr>
      </w:pPr>
      <w:bookmarkStart w:id="0" w:name="_Hlk7975901"/>
      <w:r w:rsidRPr="008348D5">
        <w:rPr>
          <w:rFonts w:ascii="Century Gothic" w:hAnsi="Century Gothic"/>
          <w:sz w:val="24"/>
        </w:rPr>
        <w:t>Radicali</w:t>
      </w:r>
      <w:r w:rsidR="00A33E45">
        <w:rPr>
          <w:rFonts w:ascii="Century Gothic" w:hAnsi="Century Gothic"/>
          <w:sz w:val="24"/>
        </w:rPr>
        <w:t>sation</w:t>
      </w:r>
      <w:r w:rsidRPr="008348D5">
        <w:rPr>
          <w:rFonts w:ascii="Century Gothic" w:hAnsi="Century Gothic"/>
          <w:sz w:val="24"/>
        </w:rPr>
        <w:t xml:space="preserve"> refers to the process by which a person comes to support terrorism and forms of extremism</w:t>
      </w:r>
      <w:bookmarkEnd w:id="0"/>
      <w:r w:rsidR="008348D5">
        <w:rPr>
          <w:rFonts w:ascii="Century Gothic" w:hAnsi="Century Gothic"/>
          <w:sz w:val="24"/>
        </w:rPr>
        <w:t xml:space="preserve">. </w:t>
      </w:r>
      <w:r w:rsidRPr="008348D5">
        <w:rPr>
          <w:rFonts w:ascii="Century Gothic" w:hAnsi="Century Gothic"/>
          <w:sz w:val="24"/>
        </w:rPr>
        <w:t xml:space="preserve">Protecting children from the risk of radicalisation is seen as part of Nurseries wider safeguarding </w:t>
      </w:r>
      <w:r w:rsidR="008348D5" w:rsidRPr="008348D5">
        <w:rPr>
          <w:rFonts w:ascii="Century Gothic" w:hAnsi="Century Gothic"/>
          <w:sz w:val="24"/>
        </w:rPr>
        <w:t>duties and</w:t>
      </w:r>
      <w:r w:rsidRPr="008348D5">
        <w:rPr>
          <w:rFonts w:ascii="Century Gothic" w:hAnsi="Century Gothic"/>
          <w:sz w:val="24"/>
        </w:rPr>
        <w:t xml:space="preserve"> is similar in nature to protecting children from other forms of harm and abuse. During the process of radicalisation, it is possible to intervene to prevent vulnerable people being radicalised There is no single way of identifying an individual who is likely to be susceptible to an extremist ideology.  It can happen in many different ways and settings.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2B727AD0" w14:textId="77777777" w:rsidR="00175BC2" w:rsidRPr="008348D5" w:rsidRDefault="00175BC2" w:rsidP="00175BC2">
      <w:pPr>
        <w:jc w:val="both"/>
        <w:rPr>
          <w:rFonts w:ascii="Century Gothic" w:hAnsi="Century Gothic"/>
          <w:sz w:val="24"/>
        </w:rPr>
      </w:pPr>
      <w:r w:rsidRPr="008348D5">
        <w:rPr>
          <w:rFonts w:ascii="Century Gothic" w:hAnsi="Century Gothic"/>
          <w:sz w:val="24"/>
        </w:rPr>
        <w:t>What is Extremism?</w:t>
      </w:r>
    </w:p>
    <w:p w14:paraId="61DE3A07"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Extremism 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25650ECA"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Practice and Procedure </w:t>
      </w:r>
    </w:p>
    <w:p w14:paraId="30F5129B" w14:textId="4FB85536" w:rsidR="00175BC2" w:rsidRPr="008348D5" w:rsidRDefault="00175BC2" w:rsidP="00175BC2">
      <w:pPr>
        <w:jc w:val="both"/>
        <w:rPr>
          <w:rFonts w:ascii="Century Gothic" w:hAnsi="Century Gothic"/>
          <w:sz w:val="24"/>
        </w:rPr>
      </w:pPr>
      <w:r w:rsidRPr="008348D5">
        <w:rPr>
          <w:rFonts w:ascii="Century Gothic" w:hAnsi="Century Gothic"/>
          <w:sz w:val="24"/>
        </w:rPr>
        <w:t>At the</w:t>
      </w:r>
      <w:r w:rsidR="00F85886" w:rsidRPr="008348D5">
        <w:rPr>
          <w:rFonts w:ascii="Century Gothic" w:hAnsi="Century Gothic"/>
          <w:sz w:val="24"/>
        </w:rPr>
        <w:t xml:space="preserve"> Nursery</w:t>
      </w:r>
      <w:r w:rsidRPr="008348D5">
        <w:rPr>
          <w:rFonts w:ascii="Century Gothic" w:hAnsi="Century Gothic"/>
          <w:sz w:val="24"/>
        </w:rPr>
        <w:t xml:space="preserve"> it is essential that team are able to identify children who may be vulnerable to radicalisation, and know what to do when they are identified.  Protecting children from the risk of radicalisation should be seen as part of schools’ and childcare providers’ wider safeguarding duties, and is similar in nature to protecting children from other harms (e.g. drugs, gangs, neglect, sexual exploitation), whether these come from within their family or are the product of outside influences.  </w:t>
      </w:r>
    </w:p>
    <w:p w14:paraId="44D79921"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We can also build our children’s resilience to radicalisation by promoting fundamental British values and enabling them to challenge extremist views.  </w:t>
      </w:r>
    </w:p>
    <w:p w14:paraId="1E1A5225"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All team are instructed to challenge extremist and radical views </w:t>
      </w:r>
    </w:p>
    <w:p w14:paraId="72CE1008"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Risk assessment </w:t>
      </w:r>
    </w:p>
    <w:p w14:paraId="664A04C1" w14:textId="77777777" w:rsidR="00175BC2" w:rsidRPr="008348D5" w:rsidRDefault="00175BC2" w:rsidP="00175BC2">
      <w:pPr>
        <w:jc w:val="both"/>
        <w:rPr>
          <w:rFonts w:ascii="Century Gothic" w:hAnsi="Century Gothic"/>
          <w:sz w:val="24"/>
        </w:rPr>
      </w:pPr>
      <w:r w:rsidRPr="008348D5">
        <w:rPr>
          <w:rFonts w:ascii="Century Gothic" w:hAnsi="Century Gothic"/>
          <w:sz w:val="24"/>
        </w:rPr>
        <w:lastRenderedPageBreak/>
        <w:t xml:space="preserve">All team, particularly the team who work directly with the children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w:t>
      </w:r>
    </w:p>
    <w:p w14:paraId="40A55813" w14:textId="77777777" w:rsidR="00175BC2" w:rsidRPr="008348D5" w:rsidRDefault="00175BC2" w:rsidP="00175BC2">
      <w:pPr>
        <w:jc w:val="both"/>
        <w:rPr>
          <w:rFonts w:ascii="Century Gothic" w:hAnsi="Century Gothic"/>
          <w:sz w:val="24"/>
        </w:rPr>
      </w:pPr>
      <w:bookmarkStart w:id="1" w:name="_Hlk488738825"/>
      <w:r w:rsidRPr="008348D5">
        <w:rPr>
          <w:rFonts w:ascii="Century Gothic" w:hAnsi="Century Gothic"/>
          <w:sz w:val="24"/>
        </w:rPr>
        <w:t xml:space="preserve">As with managing other safeguarding risks, team should be alert to changes in children’s behaviour which could indicate that they may be in need of help or protection.  Team should use their professional judgement in identifying children who might be at risk of radicalisation and act proportionately which may include making a referral to the Channel program </w:t>
      </w:r>
    </w:p>
    <w:bookmarkEnd w:id="1"/>
    <w:p w14:paraId="2230A353"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 Procedure for reporting concerns </w:t>
      </w:r>
    </w:p>
    <w:p w14:paraId="3EF67980"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If a team member has a concern about a particular child they should follow the nurseries normal safeguarding procedures, including discussing with the nurseries designated safeguarding lead, who will, where deemed necessary contact children’s social care. </w:t>
      </w:r>
    </w:p>
    <w:p w14:paraId="109FEEE2"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You can also contact your local police force or dial 101 (the non-emergency number). They can talk to you in confidence about your concerns and help you gain access to support and advice. </w:t>
      </w:r>
      <w:bookmarkStart w:id="2" w:name="_Hlk488738881"/>
      <w:r w:rsidRPr="008348D5">
        <w:rPr>
          <w:rFonts w:ascii="Century Gothic" w:hAnsi="Century Gothic"/>
          <w:sz w:val="24"/>
        </w:rPr>
        <w:t>Also, they can advise if this would be a case for Channel</w:t>
      </w:r>
      <w:r w:rsidR="00601D1E" w:rsidRPr="008348D5">
        <w:rPr>
          <w:rFonts w:ascii="Century Gothic" w:hAnsi="Century Gothic"/>
          <w:sz w:val="24"/>
        </w:rPr>
        <w:t>,</w:t>
      </w:r>
      <w:r w:rsidRPr="008348D5">
        <w:rPr>
          <w:rFonts w:ascii="Century Gothic" w:hAnsi="Century Gothic"/>
          <w:sz w:val="24"/>
        </w:rPr>
        <w:t xml:space="preserve"> The Department for Education has dedicated a telephone helpline (020 7340 7264) to enable staff and governors to raise concerns relating to extremism directly.</w:t>
      </w:r>
    </w:p>
    <w:bookmarkEnd w:id="2"/>
    <w:p w14:paraId="629BFD3C"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Appendix one </w:t>
      </w:r>
    </w:p>
    <w:p w14:paraId="154EDC4A" w14:textId="77777777" w:rsidR="00175BC2" w:rsidRPr="008348D5" w:rsidRDefault="00175BC2" w:rsidP="00175BC2">
      <w:pPr>
        <w:jc w:val="both"/>
        <w:rPr>
          <w:rFonts w:ascii="Century Gothic" w:hAnsi="Century Gothic"/>
          <w:sz w:val="24"/>
        </w:rPr>
      </w:pPr>
      <w:r w:rsidRPr="008348D5">
        <w:rPr>
          <w:rFonts w:ascii="Century Gothic" w:hAnsi="Century Gothic"/>
          <w:sz w:val="24"/>
        </w:rPr>
        <w:t xml:space="preserve">Channel </w:t>
      </w:r>
    </w:p>
    <w:p w14:paraId="0D65AF2B" w14:textId="20BCB57E" w:rsidR="00175BC2" w:rsidRDefault="00175BC2" w:rsidP="00175BC2">
      <w:pPr>
        <w:jc w:val="both"/>
        <w:rPr>
          <w:rFonts w:ascii="Century Gothic" w:hAnsi="Century Gothic"/>
          <w:sz w:val="24"/>
        </w:rPr>
      </w:pPr>
      <w:r w:rsidRPr="008348D5">
        <w:rPr>
          <w:rFonts w:ascii="Century Gothic" w:hAnsi="Century Gothic"/>
          <w:sz w:val="24"/>
        </w:rPr>
        <w:t xml:space="preserve">Channel is a programme which focuses on providing support at an early stage to people who are identified as being vulnerable to being drawn into terrorism. It provides a mechanism for schools and early years’ settings to make referrals if they are concerned that an individual might be vulnerable to radicalisation. An individual’s engagement with the programme is entirely voluntary at all stages. Section 36 of the CTSA 2015 places a duty on local authorities to ensure Channel panels are in place. The panel must be chaired by the local authority and include the police for the relevant local authority area. Following a referral, the panel will assess the extent to which identified individuals are vulnerable to being drawn into terrorism, and, where considered appropriate and necessary consent is obtained, arrange for support to be provided to those individuals.  Channel is available at:  https://www.gov.uk/government/publications/channel-guidance </w:t>
      </w:r>
    </w:p>
    <w:p w14:paraId="028B5D4D" w14:textId="57E6B9BE" w:rsidR="00EC4D29" w:rsidRPr="00EC4D29" w:rsidRDefault="00EC4D29" w:rsidP="00175BC2">
      <w:pPr>
        <w:jc w:val="both"/>
        <w:rPr>
          <w:rFonts w:ascii="Century Gothic" w:hAnsi="Century Gothic"/>
          <w:b/>
          <w:sz w:val="24"/>
        </w:rPr>
      </w:pPr>
      <w:r w:rsidRPr="00EC4D29">
        <w:rPr>
          <w:rFonts w:ascii="Century Gothic" w:hAnsi="Century Gothic"/>
          <w:b/>
          <w:sz w:val="24"/>
          <w:highlight w:val="yellow"/>
        </w:rPr>
        <w:t xml:space="preserve">All staff will complete online training through </w:t>
      </w:r>
      <w:r w:rsidR="00A33E45" w:rsidRPr="00A33E45">
        <w:rPr>
          <w:rFonts w:ascii="Century Gothic" w:hAnsi="Century Gothic"/>
          <w:b/>
          <w:sz w:val="24"/>
          <w:highlight w:val="yellow"/>
        </w:rPr>
        <w:t>the Government website (Prevent Duty training).</w:t>
      </w:r>
    </w:p>
    <w:p w14:paraId="3C478458" w14:textId="77777777" w:rsidR="00175BC2" w:rsidRPr="008348D5" w:rsidRDefault="00175BC2" w:rsidP="00175BC2">
      <w:pPr>
        <w:spacing w:after="0"/>
        <w:jc w:val="both"/>
        <w:rPr>
          <w:rFonts w:ascii="Century Gothic" w:hAnsi="Century Gothic"/>
          <w:sz w:val="24"/>
        </w:rPr>
      </w:pPr>
    </w:p>
    <w:tbl>
      <w:tblPr>
        <w:tblStyle w:val="TableGrid"/>
        <w:tblW w:w="0" w:type="auto"/>
        <w:tblLook w:val="04A0" w:firstRow="1" w:lastRow="0" w:firstColumn="1" w:lastColumn="0" w:noHBand="0" w:noVBand="1"/>
      </w:tblPr>
      <w:tblGrid>
        <w:gridCol w:w="3485"/>
        <w:gridCol w:w="3485"/>
        <w:gridCol w:w="3486"/>
      </w:tblGrid>
      <w:tr w:rsidR="00175BC2" w:rsidRPr="008348D5" w14:paraId="51D545F9" w14:textId="77777777" w:rsidTr="00CC2650">
        <w:tc>
          <w:tcPr>
            <w:tcW w:w="3485" w:type="dxa"/>
          </w:tcPr>
          <w:p w14:paraId="1EAD02AE" w14:textId="7687FC6A" w:rsidR="00175BC2" w:rsidRPr="008348D5" w:rsidRDefault="00175BC2" w:rsidP="00CC0A57">
            <w:pPr>
              <w:jc w:val="center"/>
              <w:rPr>
                <w:rFonts w:ascii="Century Gothic" w:hAnsi="Century Gothic"/>
                <w:sz w:val="24"/>
                <w:szCs w:val="24"/>
              </w:rPr>
            </w:pPr>
            <w:r w:rsidRPr="008348D5">
              <w:rPr>
                <w:rFonts w:ascii="Century Gothic" w:hAnsi="Century Gothic"/>
                <w:sz w:val="24"/>
                <w:szCs w:val="24"/>
              </w:rPr>
              <w:t>This policy was adopted:</w:t>
            </w:r>
          </w:p>
        </w:tc>
        <w:tc>
          <w:tcPr>
            <w:tcW w:w="3485" w:type="dxa"/>
          </w:tcPr>
          <w:p w14:paraId="6E4C9776" w14:textId="77777777" w:rsidR="00175BC2" w:rsidRPr="008348D5" w:rsidRDefault="00175BC2" w:rsidP="00CC0A57">
            <w:pPr>
              <w:jc w:val="center"/>
              <w:rPr>
                <w:rFonts w:ascii="Century Gothic" w:hAnsi="Century Gothic"/>
                <w:sz w:val="24"/>
                <w:szCs w:val="24"/>
              </w:rPr>
            </w:pPr>
            <w:r w:rsidRPr="008348D5">
              <w:rPr>
                <w:rFonts w:ascii="Century Gothic" w:hAnsi="Century Gothic"/>
                <w:sz w:val="24"/>
                <w:szCs w:val="24"/>
              </w:rPr>
              <w:t>Signed on behalf of the nursery:</w:t>
            </w:r>
          </w:p>
        </w:tc>
        <w:tc>
          <w:tcPr>
            <w:tcW w:w="3486" w:type="dxa"/>
          </w:tcPr>
          <w:p w14:paraId="0B5B8A4C" w14:textId="59EB67AA" w:rsidR="00175BC2" w:rsidRPr="008348D5" w:rsidRDefault="00175BC2" w:rsidP="00CC0A57">
            <w:pPr>
              <w:jc w:val="center"/>
              <w:rPr>
                <w:rFonts w:ascii="Century Gothic" w:hAnsi="Century Gothic"/>
                <w:sz w:val="24"/>
                <w:szCs w:val="24"/>
              </w:rPr>
            </w:pPr>
            <w:r w:rsidRPr="008348D5">
              <w:rPr>
                <w:rFonts w:ascii="Century Gothic" w:hAnsi="Century Gothic"/>
                <w:sz w:val="24"/>
                <w:szCs w:val="24"/>
              </w:rPr>
              <w:t>Date for Review:</w:t>
            </w:r>
          </w:p>
        </w:tc>
      </w:tr>
      <w:tr w:rsidR="00175BC2" w:rsidRPr="00C55210" w14:paraId="2B9D542C" w14:textId="77777777" w:rsidTr="00CC2650">
        <w:tc>
          <w:tcPr>
            <w:tcW w:w="3485" w:type="dxa"/>
          </w:tcPr>
          <w:p w14:paraId="7DEA3C6B" w14:textId="43C7FDFB" w:rsidR="00175BC2" w:rsidRPr="00C55210" w:rsidRDefault="00CC0A57" w:rsidP="00CC0A57">
            <w:pPr>
              <w:jc w:val="center"/>
              <w:rPr>
                <w:rFonts w:ascii="Century Gothic" w:hAnsi="Century Gothic"/>
                <w:sz w:val="24"/>
                <w:szCs w:val="24"/>
              </w:rPr>
            </w:pPr>
            <w:r>
              <w:rPr>
                <w:rFonts w:ascii="Century Gothic" w:hAnsi="Century Gothic"/>
                <w:sz w:val="24"/>
                <w:szCs w:val="24"/>
              </w:rPr>
              <w:t>12/05/2026</w:t>
            </w:r>
          </w:p>
          <w:p w14:paraId="1E1CC258" w14:textId="77777777" w:rsidR="00175BC2" w:rsidRPr="00C55210" w:rsidRDefault="00175BC2" w:rsidP="00CC0A57">
            <w:pPr>
              <w:jc w:val="center"/>
              <w:rPr>
                <w:rFonts w:ascii="Century Gothic" w:hAnsi="Century Gothic"/>
                <w:sz w:val="24"/>
                <w:szCs w:val="24"/>
              </w:rPr>
            </w:pPr>
          </w:p>
        </w:tc>
        <w:tc>
          <w:tcPr>
            <w:tcW w:w="3485" w:type="dxa"/>
          </w:tcPr>
          <w:p w14:paraId="50586BFB" w14:textId="2EFE3A07" w:rsidR="00175BC2" w:rsidRPr="00C55210" w:rsidRDefault="00A33E45" w:rsidP="00CC0A57">
            <w:pPr>
              <w:jc w:val="center"/>
              <w:rPr>
                <w:rFonts w:ascii="Century Gothic" w:hAnsi="Century Gothic"/>
                <w:sz w:val="24"/>
                <w:szCs w:val="24"/>
              </w:rPr>
            </w:pPr>
            <w:r>
              <w:rPr>
                <w:rFonts w:ascii="Century Gothic" w:hAnsi="Century Gothic"/>
                <w:sz w:val="24"/>
                <w:szCs w:val="24"/>
              </w:rPr>
              <w:t>R Chudley</w:t>
            </w:r>
          </w:p>
        </w:tc>
        <w:tc>
          <w:tcPr>
            <w:tcW w:w="3486" w:type="dxa"/>
          </w:tcPr>
          <w:p w14:paraId="6B3356FF" w14:textId="36F4DA05" w:rsidR="00175BC2" w:rsidRPr="00C55210" w:rsidRDefault="00CC0A57" w:rsidP="00CC0A57">
            <w:pPr>
              <w:jc w:val="center"/>
              <w:rPr>
                <w:rFonts w:ascii="Century Gothic" w:hAnsi="Century Gothic"/>
                <w:sz w:val="24"/>
                <w:szCs w:val="24"/>
              </w:rPr>
            </w:pPr>
            <w:r>
              <w:rPr>
                <w:rFonts w:ascii="Century Gothic" w:hAnsi="Century Gothic"/>
                <w:sz w:val="24"/>
                <w:szCs w:val="24"/>
              </w:rPr>
              <w:t>Immediate and ongoing</w:t>
            </w:r>
          </w:p>
        </w:tc>
      </w:tr>
    </w:tbl>
    <w:p w14:paraId="4DB2E63D" w14:textId="77777777" w:rsidR="00175BC2" w:rsidRPr="00C55210" w:rsidRDefault="00175BC2" w:rsidP="00175BC2">
      <w:pPr>
        <w:ind w:left="360"/>
        <w:rPr>
          <w:rFonts w:ascii="Century Gothic" w:hAnsi="Century Gothic"/>
          <w:b/>
          <w:sz w:val="24"/>
          <w:szCs w:val="24"/>
        </w:rPr>
      </w:pPr>
    </w:p>
    <w:p w14:paraId="63378C39" w14:textId="77777777" w:rsidR="00175BC2" w:rsidRPr="00C55210" w:rsidRDefault="00175BC2" w:rsidP="00175BC2">
      <w:pPr>
        <w:ind w:left="360"/>
        <w:rPr>
          <w:rFonts w:ascii="Century Gothic" w:hAnsi="Century Gothic"/>
          <w:b/>
          <w:sz w:val="24"/>
          <w:szCs w:val="24"/>
        </w:rPr>
      </w:pPr>
    </w:p>
    <w:p w14:paraId="650B4D48" w14:textId="77777777" w:rsidR="009E3088" w:rsidRPr="00C55210" w:rsidRDefault="009E3088" w:rsidP="009E3088">
      <w:pPr>
        <w:ind w:left="360"/>
        <w:rPr>
          <w:rFonts w:ascii="Century Gothic" w:hAnsi="Century Gothic"/>
          <w:b/>
          <w:sz w:val="24"/>
          <w:szCs w:val="24"/>
        </w:rPr>
      </w:pPr>
    </w:p>
    <w:p w14:paraId="7DA0B68B" w14:textId="77777777" w:rsidR="009E3088" w:rsidRDefault="009E3088" w:rsidP="009E3088">
      <w:pPr>
        <w:rPr>
          <w:rFonts w:ascii="Century Gothic" w:hAnsi="Century Gothic"/>
          <w:b/>
          <w:sz w:val="24"/>
          <w:szCs w:val="24"/>
        </w:rPr>
      </w:pPr>
    </w:p>
    <w:p w14:paraId="1987E836" w14:textId="77777777" w:rsidR="008F0827" w:rsidRPr="009E3088" w:rsidRDefault="008F0827" w:rsidP="009E3088"/>
    <w:sectPr w:rsidR="008F0827" w:rsidRPr="009E3088"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45A8" w14:textId="77777777" w:rsidR="00BB768F" w:rsidRDefault="00BB768F" w:rsidP="00F87D0A">
      <w:pPr>
        <w:spacing w:after="0" w:line="240" w:lineRule="auto"/>
      </w:pPr>
      <w:r>
        <w:separator/>
      </w:r>
    </w:p>
  </w:endnote>
  <w:endnote w:type="continuationSeparator" w:id="0">
    <w:p w14:paraId="4916AB57" w14:textId="77777777" w:rsidR="00BB768F" w:rsidRDefault="00BB768F"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80A1" w14:textId="77777777" w:rsidR="00BB768F" w:rsidRDefault="00BB768F" w:rsidP="00F87D0A">
      <w:pPr>
        <w:spacing w:after="0" w:line="240" w:lineRule="auto"/>
      </w:pPr>
      <w:r>
        <w:separator/>
      </w:r>
    </w:p>
  </w:footnote>
  <w:footnote w:type="continuationSeparator" w:id="0">
    <w:p w14:paraId="189F5EEB" w14:textId="77777777" w:rsidR="00BB768F" w:rsidRDefault="00BB768F"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3152" w14:textId="46AE247B" w:rsidR="00F87D0A" w:rsidRDefault="00A33E45" w:rsidP="00F87D0A">
    <w:pPr>
      <w:pStyle w:val="Header"/>
      <w:jc w:val="right"/>
    </w:pPr>
    <w:r>
      <w:rPr>
        <w:noProof/>
      </w:rPr>
      <w:drawing>
        <wp:anchor distT="0" distB="0" distL="114300" distR="114300" simplePos="0" relativeHeight="251658240" behindDoc="1" locked="0" layoutInCell="1" allowOverlap="1" wp14:anchorId="21BA65F7" wp14:editId="27BEF5FD">
          <wp:simplePos x="0" y="0"/>
          <wp:positionH relativeFrom="column">
            <wp:posOffset>6225540</wp:posOffset>
          </wp:positionH>
          <wp:positionV relativeFrom="paragraph">
            <wp:posOffset>-297180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D4DEDF"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848675">
    <w:abstractNumId w:val="4"/>
  </w:num>
  <w:num w:numId="2" w16cid:durableId="1481575609">
    <w:abstractNumId w:val="10"/>
  </w:num>
  <w:num w:numId="3" w16cid:durableId="1492595415">
    <w:abstractNumId w:val="3"/>
  </w:num>
  <w:num w:numId="4" w16cid:durableId="2018002658">
    <w:abstractNumId w:val="31"/>
  </w:num>
  <w:num w:numId="5" w16cid:durableId="589855477">
    <w:abstractNumId w:val="17"/>
  </w:num>
  <w:num w:numId="6" w16cid:durableId="1517621204">
    <w:abstractNumId w:val="40"/>
  </w:num>
  <w:num w:numId="7" w16cid:durableId="810485289">
    <w:abstractNumId w:val="19"/>
  </w:num>
  <w:num w:numId="8" w16cid:durableId="1411734074">
    <w:abstractNumId w:val="20"/>
  </w:num>
  <w:num w:numId="9" w16cid:durableId="155150759">
    <w:abstractNumId w:val="7"/>
  </w:num>
  <w:num w:numId="10" w16cid:durableId="473985245">
    <w:abstractNumId w:val="43"/>
  </w:num>
  <w:num w:numId="11" w16cid:durableId="994531980">
    <w:abstractNumId w:val="24"/>
  </w:num>
  <w:num w:numId="12" w16cid:durableId="2076513926">
    <w:abstractNumId w:val="22"/>
  </w:num>
  <w:num w:numId="13" w16cid:durableId="462701833">
    <w:abstractNumId w:val="25"/>
  </w:num>
  <w:num w:numId="14" w16cid:durableId="1170023989">
    <w:abstractNumId w:val="16"/>
  </w:num>
  <w:num w:numId="15" w16cid:durableId="937058264">
    <w:abstractNumId w:val="26"/>
  </w:num>
  <w:num w:numId="16" w16cid:durableId="1689062758">
    <w:abstractNumId w:val="21"/>
  </w:num>
  <w:num w:numId="17" w16cid:durableId="608777411">
    <w:abstractNumId w:val="11"/>
  </w:num>
  <w:num w:numId="18" w16cid:durableId="756941274">
    <w:abstractNumId w:val="9"/>
  </w:num>
  <w:num w:numId="19" w16cid:durableId="576789070">
    <w:abstractNumId w:val="28"/>
  </w:num>
  <w:num w:numId="20" w16cid:durableId="120656559">
    <w:abstractNumId w:val="15"/>
  </w:num>
  <w:num w:numId="21" w16cid:durableId="1077552411">
    <w:abstractNumId w:val="41"/>
  </w:num>
  <w:num w:numId="22" w16cid:durableId="53628845">
    <w:abstractNumId w:val="39"/>
  </w:num>
  <w:num w:numId="23" w16cid:durableId="485974831">
    <w:abstractNumId w:val="32"/>
  </w:num>
  <w:num w:numId="24" w16cid:durableId="26222432">
    <w:abstractNumId w:val="13"/>
  </w:num>
  <w:num w:numId="25" w16cid:durableId="263346519">
    <w:abstractNumId w:val="27"/>
  </w:num>
  <w:num w:numId="26" w16cid:durableId="833380733">
    <w:abstractNumId w:val="1"/>
  </w:num>
  <w:num w:numId="27" w16cid:durableId="1488932894">
    <w:abstractNumId w:val="30"/>
  </w:num>
  <w:num w:numId="28" w16cid:durableId="2074623485">
    <w:abstractNumId w:val="37"/>
  </w:num>
  <w:num w:numId="29" w16cid:durableId="2096514826">
    <w:abstractNumId w:val="8"/>
  </w:num>
  <w:num w:numId="30" w16cid:durableId="260341162">
    <w:abstractNumId w:val="46"/>
  </w:num>
  <w:num w:numId="31" w16cid:durableId="1028021076">
    <w:abstractNumId w:val="42"/>
  </w:num>
  <w:num w:numId="32" w16cid:durableId="302320803">
    <w:abstractNumId w:val="34"/>
  </w:num>
  <w:num w:numId="33" w16cid:durableId="1713075906">
    <w:abstractNumId w:val="36"/>
  </w:num>
  <w:num w:numId="34" w16cid:durableId="1155417469">
    <w:abstractNumId w:val="33"/>
  </w:num>
  <w:num w:numId="35" w16cid:durableId="1471750642">
    <w:abstractNumId w:val="5"/>
  </w:num>
  <w:num w:numId="36" w16cid:durableId="472259304">
    <w:abstractNumId w:val="0"/>
  </w:num>
  <w:num w:numId="37" w16cid:durableId="2136366699">
    <w:abstractNumId w:val="14"/>
  </w:num>
  <w:num w:numId="38" w16cid:durableId="277949124">
    <w:abstractNumId w:val="23"/>
  </w:num>
  <w:num w:numId="39" w16cid:durableId="249587037">
    <w:abstractNumId w:val="38"/>
  </w:num>
  <w:num w:numId="40" w16cid:durableId="161288118">
    <w:abstractNumId w:val="18"/>
  </w:num>
  <w:num w:numId="41" w16cid:durableId="1691562620">
    <w:abstractNumId w:val="29"/>
  </w:num>
  <w:num w:numId="42" w16cid:durableId="411006213">
    <w:abstractNumId w:val="6"/>
  </w:num>
  <w:num w:numId="43" w16cid:durableId="1979603275">
    <w:abstractNumId w:val="2"/>
  </w:num>
  <w:num w:numId="44" w16cid:durableId="1683625557">
    <w:abstractNumId w:val="44"/>
  </w:num>
  <w:num w:numId="45" w16cid:durableId="1292401319">
    <w:abstractNumId w:val="35"/>
  </w:num>
  <w:num w:numId="46" w16cid:durableId="1959532812">
    <w:abstractNumId w:val="12"/>
  </w:num>
  <w:num w:numId="47" w16cid:durableId="204362592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73239"/>
    <w:rsid w:val="00085CA7"/>
    <w:rsid w:val="000F30A0"/>
    <w:rsid w:val="00175BC2"/>
    <w:rsid w:val="00192621"/>
    <w:rsid w:val="00207AC9"/>
    <w:rsid w:val="0023292E"/>
    <w:rsid w:val="002969FC"/>
    <w:rsid w:val="002B4A22"/>
    <w:rsid w:val="002F6C78"/>
    <w:rsid w:val="0030586B"/>
    <w:rsid w:val="003357CB"/>
    <w:rsid w:val="003868F8"/>
    <w:rsid w:val="003C130B"/>
    <w:rsid w:val="003C19CB"/>
    <w:rsid w:val="004232C7"/>
    <w:rsid w:val="00434C30"/>
    <w:rsid w:val="00495029"/>
    <w:rsid w:val="00500F52"/>
    <w:rsid w:val="00501E56"/>
    <w:rsid w:val="00513880"/>
    <w:rsid w:val="00581C11"/>
    <w:rsid w:val="00597AA4"/>
    <w:rsid w:val="005B0DC2"/>
    <w:rsid w:val="00601D1E"/>
    <w:rsid w:val="00656211"/>
    <w:rsid w:val="0066393A"/>
    <w:rsid w:val="006771C5"/>
    <w:rsid w:val="006B4535"/>
    <w:rsid w:val="007433BF"/>
    <w:rsid w:val="00774376"/>
    <w:rsid w:val="00777250"/>
    <w:rsid w:val="007A7F42"/>
    <w:rsid w:val="00801EE6"/>
    <w:rsid w:val="008348D5"/>
    <w:rsid w:val="00843394"/>
    <w:rsid w:val="008662C5"/>
    <w:rsid w:val="008D5752"/>
    <w:rsid w:val="008E6248"/>
    <w:rsid w:val="008F0827"/>
    <w:rsid w:val="009320B5"/>
    <w:rsid w:val="009374F8"/>
    <w:rsid w:val="00950AD6"/>
    <w:rsid w:val="00965351"/>
    <w:rsid w:val="00972A0C"/>
    <w:rsid w:val="00993AF9"/>
    <w:rsid w:val="009A7B23"/>
    <w:rsid w:val="009B4917"/>
    <w:rsid w:val="009E3088"/>
    <w:rsid w:val="00A33E45"/>
    <w:rsid w:val="00A52E34"/>
    <w:rsid w:val="00A70B34"/>
    <w:rsid w:val="00AC521F"/>
    <w:rsid w:val="00AC589D"/>
    <w:rsid w:val="00B806F7"/>
    <w:rsid w:val="00B9049B"/>
    <w:rsid w:val="00BB05B4"/>
    <w:rsid w:val="00BB768F"/>
    <w:rsid w:val="00BC79C3"/>
    <w:rsid w:val="00BE781B"/>
    <w:rsid w:val="00C16A7B"/>
    <w:rsid w:val="00C436B2"/>
    <w:rsid w:val="00C8453F"/>
    <w:rsid w:val="00CC0A57"/>
    <w:rsid w:val="00CC684B"/>
    <w:rsid w:val="00D449E2"/>
    <w:rsid w:val="00D53809"/>
    <w:rsid w:val="00DE7E4D"/>
    <w:rsid w:val="00DF0B19"/>
    <w:rsid w:val="00E154A4"/>
    <w:rsid w:val="00E867EA"/>
    <w:rsid w:val="00EC4D29"/>
    <w:rsid w:val="00EE0BB2"/>
    <w:rsid w:val="00EF5CD0"/>
    <w:rsid w:val="00F651C0"/>
    <w:rsid w:val="00F85886"/>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735E"/>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455B7-268F-4C32-900D-5225C6B23D44}">
  <ds:schemaRefs>
    <ds:schemaRef ds:uri="http://schemas.microsoft.com/sharepoint/v3/contenttype/forms"/>
  </ds:schemaRefs>
</ds:datastoreItem>
</file>

<file path=customXml/itemProps2.xml><?xml version="1.0" encoding="utf-8"?>
<ds:datastoreItem xmlns:ds="http://schemas.openxmlformats.org/officeDocument/2006/customXml" ds:itemID="{FAA369F6-B027-4915-A6FC-49A51E4D0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4E303-8BA3-4614-8040-6A3A07E8B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FD1D7-BCEB-4153-8BD1-DE8ED748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2026-05-12T14:38:00Z</dcterms:created>
  <dcterms:modified xsi:type="dcterms:W3CDTF">2026-05-12T14:38:00Z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